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476B5" w14:textId="77777777" w:rsidR="00787CEB" w:rsidRPr="00AE0B45" w:rsidRDefault="00787CEB" w:rsidP="00B970FE">
      <w:pPr>
        <w:ind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B3FD52" w14:textId="573D5B4D" w:rsidR="00B970FE" w:rsidRPr="00F13CEB" w:rsidRDefault="003E3409" w:rsidP="00B970FE">
      <w:pPr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13CEB">
        <w:rPr>
          <w:rFonts w:asciiTheme="minorHAnsi" w:hAnsiTheme="minorHAnsi" w:cstheme="minorHAnsi"/>
          <w:b/>
          <w:sz w:val="28"/>
          <w:szCs w:val="28"/>
        </w:rPr>
        <w:t>TERMO DE REFERÊNCIA</w:t>
      </w:r>
    </w:p>
    <w:p w14:paraId="2E5F9B4B" w14:textId="26E32458" w:rsidR="003E3409" w:rsidRPr="00AE0B45" w:rsidRDefault="003E340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 xml:space="preserve">Definição do </w:t>
      </w:r>
      <w:r w:rsidR="00212C1D" w:rsidRPr="00AE0B45">
        <w:rPr>
          <w:rFonts w:asciiTheme="minorHAnsi" w:hAnsiTheme="minorHAnsi" w:cstheme="minorHAnsi"/>
          <w:sz w:val="20"/>
          <w:szCs w:val="20"/>
        </w:rPr>
        <w:t>O</w:t>
      </w:r>
      <w:r w:rsidRPr="00AE0B45">
        <w:rPr>
          <w:rFonts w:asciiTheme="minorHAnsi" w:hAnsiTheme="minorHAnsi" w:cstheme="minorHAnsi"/>
          <w:sz w:val="20"/>
          <w:szCs w:val="20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AE0B45" w14:paraId="76F8DB76" w14:textId="77777777" w:rsidTr="00C55E3E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Natureza(s) do(s) Objeto(s)</w:t>
            </w:r>
          </w:p>
        </w:tc>
      </w:tr>
      <w:tr w:rsidR="00212C1D" w:rsidRPr="00AE0B45" w14:paraId="64313419" w14:textId="77777777" w:rsidTr="00C55E3E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Concessão de Bens</w:t>
            </w:r>
          </w:p>
        </w:tc>
      </w:tr>
      <w:tr w:rsidR="00212C1D" w:rsidRPr="00AE0B45" w14:paraId="48D45C09" w14:textId="77777777" w:rsidTr="00C55E3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A9D5E68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6162BA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Permissão de Bens</w:t>
            </w:r>
          </w:p>
        </w:tc>
      </w:tr>
      <w:tr w:rsidR="00212C1D" w:rsidRPr="00AE0B45" w14:paraId="79BD1475" w14:textId="77777777" w:rsidTr="00C55E3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AE0B45" w:rsidRDefault="00212C1D" w:rsidP="00212C1D">
      <w:pPr>
        <w:rPr>
          <w:rFonts w:asciiTheme="minorHAnsi" w:hAnsiTheme="minorHAnsi" w:cstheme="minorHAnsi"/>
          <w:sz w:val="20"/>
          <w:szCs w:val="20"/>
        </w:rPr>
      </w:pPr>
    </w:p>
    <w:p w14:paraId="54B246BD" w14:textId="77777777" w:rsidR="00787CEB" w:rsidRPr="00AE0B45" w:rsidRDefault="00787CEB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AE0B45" w14:paraId="0C15520C" w14:textId="77777777" w:rsidTr="00C55E3E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Tipo(s) de Objeto(s)</w:t>
            </w:r>
          </w:p>
        </w:tc>
      </w:tr>
      <w:tr w:rsidR="00212C1D" w:rsidRPr="00AE0B45" w14:paraId="60198845" w14:textId="77777777" w:rsidTr="00C55E3E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Bem(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Comum(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Bem(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023BB4A5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6162BA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Serviço(s) Comum(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Serviço(s) Especial(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212C1D" w:rsidRPr="00AE0B45" w14:paraId="6E7FE2F9" w14:textId="77777777" w:rsidTr="00C55E3E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Obra(s) Comum(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Obra(s) Especial(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de Engenharia</w:t>
            </w:r>
          </w:p>
        </w:tc>
      </w:tr>
      <w:tr w:rsidR="00212C1D" w:rsidRPr="00AE0B45" w14:paraId="204E6335" w14:textId="77777777" w:rsidTr="00C55E3E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Serviço(s) Comum(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Serviço(s) Especial(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de Engenharia</w:t>
            </w:r>
          </w:p>
        </w:tc>
      </w:tr>
    </w:tbl>
    <w:p w14:paraId="7A21D91D" w14:textId="7E9929D9" w:rsidR="00212C1D" w:rsidRPr="00AE0B45" w:rsidRDefault="00212C1D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AE0B45" w14:paraId="76EFAE00" w14:textId="77777777" w:rsidTr="00C55E3E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Catálogo Eletrônico de Padronização</w:t>
            </w:r>
          </w:p>
        </w:tc>
      </w:tr>
      <w:tr w:rsidR="00212C1D" w:rsidRPr="00AE0B45" w14:paraId="290C4E49" w14:textId="77777777" w:rsidTr="00C55E3E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BF3D28E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2A9FB51D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6162BA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Não identificado(s) e/ou localizado(s) no catálogo</w:t>
            </w:r>
          </w:p>
        </w:tc>
      </w:tr>
      <w:tr w:rsidR="00212C1D" w:rsidRPr="00AE0B45" w14:paraId="467E624E" w14:textId="77777777" w:rsidTr="00C55E3E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63E17431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6162BA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Descrever o motivo da não utilização do catálogo eletrônico de padronização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C1D" w:rsidRPr="00AE0B45" w14:paraId="5F088D42" w14:textId="77777777" w:rsidTr="00C55E3E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365DB8E9" w:rsidR="00212C1D" w:rsidRPr="00AE0B45" w:rsidRDefault="006162BA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Não localizado no catálogo eletrônico de padronização. </w:t>
            </w:r>
          </w:p>
        </w:tc>
      </w:tr>
    </w:tbl>
    <w:p w14:paraId="76B379B2" w14:textId="77777777" w:rsidR="00787CEB" w:rsidRPr="00AE0B45" w:rsidRDefault="00787CEB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738"/>
        <w:gridCol w:w="567"/>
        <w:gridCol w:w="1134"/>
        <w:gridCol w:w="1530"/>
      </w:tblGrid>
      <w:tr w:rsidR="00094591" w:rsidRPr="00606931" w14:paraId="6EE49C50" w14:textId="77777777" w:rsidTr="00E817A1">
        <w:tc>
          <w:tcPr>
            <w:tcW w:w="10314" w:type="dxa"/>
            <w:gridSpan w:val="6"/>
            <w:shd w:val="clear" w:color="auto" w:fill="D9D9D9" w:themeFill="background1" w:themeFillShade="D9"/>
            <w:vAlign w:val="center"/>
          </w:tcPr>
          <w:p w14:paraId="7645CD5F" w14:textId="13EAD465" w:rsidR="00094591" w:rsidRPr="00606931" w:rsidRDefault="00094591" w:rsidP="009472A3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REGISTRO DE PREÇOS visando a prestação de serviços de conserto de pneus e serviços associados, nos veículos da frota municipal, conforme lotes e itens abaixo:</w:t>
            </w:r>
          </w:p>
        </w:tc>
      </w:tr>
      <w:tr w:rsidR="00212C1D" w:rsidRPr="00606931" w14:paraId="3B478692" w14:textId="77777777" w:rsidTr="00E817A1">
        <w:tc>
          <w:tcPr>
            <w:tcW w:w="10314" w:type="dxa"/>
            <w:gridSpan w:val="6"/>
            <w:shd w:val="clear" w:color="auto" w:fill="F2F2F2" w:themeFill="background1" w:themeFillShade="F2"/>
            <w:vAlign w:val="center"/>
          </w:tcPr>
          <w:p w14:paraId="046BEBF3" w14:textId="2824FBCF" w:rsidR="00212C1D" w:rsidRPr="00606931" w:rsidRDefault="009472A3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LOTE 1 – CONSERTO DE PNEUS DE CARROS</w:t>
            </w:r>
          </w:p>
        </w:tc>
      </w:tr>
      <w:tr w:rsidR="00212C1D" w:rsidRPr="00606931" w14:paraId="7C1EC55D" w14:textId="77777777" w:rsidTr="00AE0B45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 do Item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297DEE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D4C4C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Unit.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154C539" w14:textId="77777777" w:rsidR="00212C1D" w:rsidRPr="00606931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Total</w:t>
            </w:r>
          </w:p>
        </w:tc>
      </w:tr>
      <w:tr w:rsidR="003F17A6" w:rsidRPr="00606931" w14:paraId="0847733F" w14:textId="77777777" w:rsidTr="00AE0B45">
        <w:tc>
          <w:tcPr>
            <w:tcW w:w="484" w:type="dxa"/>
            <w:shd w:val="clear" w:color="auto" w:fill="auto"/>
            <w:vAlign w:val="center"/>
          </w:tcPr>
          <w:p w14:paraId="438680B0" w14:textId="77777777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41BC7D7C" w:rsidR="003F17A6" w:rsidRPr="00606931" w:rsidRDefault="003F17A6" w:rsidP="003F17A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pneus – INTERNO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C56D4D4" w14:textId="47559922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4D660CA4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F25AFA" w14:textId="221B20DA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R$ 34,90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598F6F8" w14:textId="05C810F5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R$ 1.745,00</w:t>
            </w:r>
          </w:p>
        </w:tc>
      </w:tr>
      <w:tr w:rsidR="003F17A6" w:rsidRPr="00606931" w14:paraId="7ED2808E" w14:textId="77777777" w:rsidTr="00AE0B45">
        <w:tc>
          <w:tcPr>
            <w:tcW w:w="484" w:type="dxa"/>
            <w:shd w:val="clear" w:color="auto" w:fill="auto"/>
            <w:vAlign w:val="center"/>
          </w:tcPr>
          <w:p w14:paraId="381CE1C6" w14:textId="77777777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70E3103" w14:textId="7726CFF1" w:rsidR="003F17A6" w:rsidRPr="00606931" w:rsidRDefault="003F17A6" w:rsidP="003F17A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pneus – EXTERNO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67B0FE4" w14:textId="51062B6D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3A1D6277" w14:textId="53DDBA10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73165" w14:textId="673F3E99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R$ 31,60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0EB213" w14:textId="00516B3F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R$ 1.580,00</w:t>
            </w:r>
          </w:p>
        </w:tc>
      </w:tr>
      <w:tr w:rsidR="003F17A6" w:rsidRPr="00606931" w14:paraId="6A3126AA" w14:textId="77777777" w:rsidTr="00AE0B45">
        <w:tc>
          <w:tcPr>
            <w:tcW w:w="484" w:type="dxa"/>
            <w:shd w:val="clear" w:color="auto" w:fill="auto"/>
            <w:vAlign w:val="center"/>
          </w:tcPr>
          <w:p w14:paraId="6C9AB8F3" w14:textId="77777777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06B63BBD" w14:textId="27043ED9" w:rsidR="003F17A6" w:rsidRPr="00606931" w:rsidRDefault="003F17A6" w:rsidP="003F17A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pneus – VULCANIZAÇÃO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81E8613" w14:textId="0AF208BC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660A3428" w14:textId="7C37DEE9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FD7A5" w14:textId="4E8C066F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R$ 64,95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380AB1C" w14:textId="6CDFB327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R$ 3.247,50</w:t>
            </w:r>
          </w:p>
        </w:tc>
      </w:tr>
      <w:tr w:rsidR="003F17A6" w:rsidRPr="00606931" w14:paraId="6B663DA8" w14:textId="77777777" w:rsidTr="00AE0B45">
        <w:tc>
          <w:tcPr>
            <w:tcW w:w="484" w:type="dxa"/>
            <w:shd w:val="clear" w:color="auto" w:fill="auto"/>
            <w:vAlign w:val="center"/>
          </w:tcPr>
          <w:p w14:paraId="33E7FDB8" w14:textId="6D7E2A20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5FD505C" w14:textId="5ABE61B2" w:rsidR="003F17A6" w:rsidRPr="00606931" w:rsidRDefault="003F17A6" w:rsidP="003F17A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Montagem de pneus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200D56E" w14:textId="480E1F9F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3508A80A" w14:textId="066F8E74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361A0" w14:textId="5CE8DDCC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R$ 28,39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64F05E" w14:textId="6C91B40C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R$ 1.419,50</w:t>
            </w:r>
          </w:p>
        </w:tc>
      </w:tr>
      <w:tr w:rsidR="003F17A6" w:rsidRPr="00606931" w14:paraId="04014FC2" w14:textId="77777777" w:rsidTr="00AE0B45">
        <w:tc>
          <w:tcPr>
            <w:tcW w:w="484" w:type="dxa"/>
            <w:shd w:val="clear" w:color="auto" w:fill="auto"/>
            <w:vAlign w:val="center"/>
          </w:tcPr>
          <w:p w14:paraId="05496B12" w14:textId="1C22FED8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C9D3E92" w14:textId="58F8C585" w:rsidR="003F17A6" w:rsidRPr="00606931" w:rsidRDefault="003F17A6" w:rsidP="003F17A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Balanceamento de pneus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76473F" w14:textId="0ABF2562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3F981E6B" w14:textId="00B8AAB9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D3C33D" w14:textId="2CB52181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R$ 18,97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BF5E93A" w14:textId="3BD31021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R$ 948,50</w:t>
            </w:r>
          </w:p>
        </w:tc>
      </w:tr>
      <w:tr w:rsidR="003F17A6" w:rsidRPr="00606931" w14:paraId="41C813AE" w14:textId="77777777" w:rsidTr="00AE0B45">
        <w:tc>
          <w:tcPr>
            <w:tcW w:w="484" w:type="dxa"/>
            <w:shd w:val="clear" w:color="auto" w:fill="auto"/>
            <w:vAlign w:val="center"/>
          </w:tcPr>
          <w:p w14:paraId="6E5816D6" w14:textId="059769A2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470FE1D" w14:textId="62DFE0B5" w:rsidR="003F17A6" w:rsidRPr="00606931" w:rsidRDefault="003F17A6" w:rsidP="003F17A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Troca de válvulas das rodas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DD16771" w14:textId="2C95C666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257A29C7" w14:textId="477A1F9F" w:rsidR="003F17A6" w:rsidRPr="00606931" w:rsidRDefault="003F17A6" w:rsidP="003F17A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174F5" w14:textId="2B1E99A8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R$ 33,33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F10C7A5" w14:textId="4FF98970" w:rsidR="003F17A6" w:rsidRPr="00606931" w:rsidRDefault="003F17A6" w:rsidP="003F17A6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R$ 1.666,50</w:t>
            </w:r>
          </w:p>
        </w:tc>
      </w:tr>
      <w:tr w:rsidR="00212C1D" w:rsidRPr="00606931" w14:paraId="509BB39C" w14:textId="77777777" w:rsidTr="00AE0B45">
        <w:tc>
          <w:tcPr>
            <w:tcW w:w="878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606931" w:rsidRDefault="00212C1D" w:rsidP="00C55E3E">
            <w:pPr>
              <w:ind w:firstLine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Valor Total Estimado: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4AFB2B34" w:rsidR="00212C1D" w:rsidRPr="00606931" w:rsidRDefault="003F17A6" w:rsidP="003F17A6">
            <w:pPr>
              <w:spacing w:after="0"/>
              <w:ind w:firstLine="0"/>
              <w:contextualSpacing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R$ 10.607,00</w:t>
            </w:r>
          </w:p>
        </w:tc>
      </w:tr>
    </w:tbl>
    <w:p w14:paraId="0CAA82E3" w14:textId="3F9E6F17" w:rsidR="00212C1D" w:rsidRPr="00AE0B45" w:rsidRDefault="00212C1D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567"/>
        <w:gridCol w:w="1134"/>
        <w:gridCol w:w="1559"/>
      </w:tblGrid>
      <w:tr w:rsidR="006162BA" w:rsidRPr="00606931" w14:paraId="4D7D5A05" w14:textId="77777777" w:rsidTr="00C04224">
        <w:tc>
          <w:tcPr>
            <w:tcW w:w="562" w:type="dxa"/>
            <w:shd w:val="clear" w:color="auto" w:fill="F2F2F2" w:themeFill="background1" w:themeFillShade="F2"/>
          </w:tcPr>
          <w:p w14:paraId="5993301A" w14:textId="77777777" w:rsidR="006162BA" w:rsidRPr="00606931" w:rsidRDefault="006162BA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69594156"/>
          </w:p>
        </w:tc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2C2CCB3B" w14:textId="75933A41" w:rsidR="006162BA" w:rsidRPr="00606931" w:rsidRDefault="009472A3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LOTE 2 – CONSERTO DE PNEUS DE VANS E AMBULÂNCIAS</w:t>
            </w:r>
          </w:p>
        </w:tc>
      </w:tr>
      <w:tr w:rsidR="006162BA" w:rsidRPr="00606931" w14:paraId="67DD5B19" w14:textId="77777777" w:rsidTr="00AE0B45">
        <w:tc>
          <w:tcPr>
            <w:tcW w:w="562" w:type="dxa"/>
            <w:vAlign w:val="center"/>
          </w:tcPr>
          <w:p w14:paraId="3E5674DC" w14:textId="4EC45A23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F34583" w14:textId="7EA94203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 do 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E884E" w14:textId="77777777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8010BF" w14:textId="77777777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F4554" w14:textId="77777777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Unit.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E38E77" w14:textId="77777777" w:rsidR="006162BA" w:rsidRPr="00606931" w:rsidRDefault="006162BA" w:rsidP="006162BA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Total</w:t>
            </w:r>
          </w:p>
        </w:tc>
      </w:tr>
      <w:tr w:rsidR="00E62686" w:rsidRPr="00606931" w14:paraId="2CBC146A" w14:textId="77777777" w:rsidTr="00AE0B45">
        <w:tc>
          <w:tcPr>
            <w:tcW w:w="562" w:type="dxa"/>
            <w:vAlign w:val="center"/>
          </w:tcPr>
          <w:p w14:paraId="1A1D82B8" w14:textId="5DC2D052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FCAF31" w14:textId="15CDFADC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INTERNO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9ADDD" w14:textId="68CA088B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FC091" w14:textId="1BFBC5A9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B46E0" w14:textId="69F1DF3D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R$ 46,33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AF52A" w14:textId="7F0E19A6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R$ 2.316,50</w:t>
            </w:r>
          </w:p>
        </w:tc>
      </w:tr>
      <w:tr w:rsidR="00E62686" w:rsidRPr="00606931" w14:paraId="2902EC3D" w14:textId="77777777" w:rsidTr="00AE0B45">
        <w:tc>
          <w:tcPr>
            <w:tcW w:w="562" w:type="dxa"/>
            <w:vAlign w:val="center"/>
          </w:tcPr>
          <w:p w14:paraId="3F31AE32" w14:textId="15BED14D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667FD46" w14:textId="792C9A8B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EXTERNO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6C4D4F" w14:textId="5FF6AD4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3BDE923C" w14:textId="24DA9AA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CED06" w14:textId="5AFAE41F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R$ 45,31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3DE83A" w14:textId="660E6BFA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R$ 2.265,50</w:t>
            </w:r>
          </w:p>
        </w:tc>
      </w:tr>
      <w:tr w:rsidR="00E62686" w:rsidRPr="00606931" w14:paraId="014FE81E" w14:textId="77777777" w:rsidTr="00AE0B45">
        <w:tc>
          <w:tcPr>
            <w:tcW w:w="562" w:type="dxa"/>
            <w:vAlign w:val="center"/>
          </w:tcPr>
          <w:p w14:paraId="1637742C" w14:textId="547045F2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2D9AAD" w14:textId="6FF49CFC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VULCANIZAÇÃO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3D9BB" w14:textId="7CD28648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6314B093" w14:textId="716B72E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6E8D8" w14:textId="5251332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R$ 93,12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DF8076" w14:textId="102551F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R$ 4.656,00</w:t>
            </w:r>
          </w:p>
        </w:tc>
      </w:tr>
      <w:tr w:rsidR="00E62686" w:rsidRPr="00606931" w14:paraId="10E7A515" w14:textId="77777777" w:rsidTr="00AE0B45">
        <w:tc>
          <w:tcPr>
            <w:tcW w:w="562" w:type="dxa"/>
            <w:shd w:val="clear" w:color="auto" w:fill="auto"/>
            <w:vAlign w:val="center"/>
          </w:tcPr>
          <w:p w14:paraId="5564CFAD" w14:textId="1E8A19AF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7800A66" w14:textId="33080220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Montagem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1BA9C6" w14:textId="627E588B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0E4CC5AF" w14:textId="4223BBEB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7941" w14:textId="02C72E6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R$ 36,80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6092AC" w14:textId="2E4CEB6F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R$ 1.840,00</w:t>
            </w:r>
          </w:p>
        </w:tc>
      </w:tr>
      <w:tr w:rsidR="00E62686" w:rsidRPr="00606931" w14:paraId="47E313DF" w14:textId="77777777" w:rsidTr="00AE0B45">
        <w:tc>
          <w:tcPr>
            <w:tcW w:w="562" w:type="dxa"/>
            <w:shd w:val="clear" w:color="auto" w:fill="auto"/>
            <w:vAlign w:val="center"/>
          </w:tcPr>
          <w:p w14:paraId="0C5EC9C5" w14:textId="55465E44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6F2FE2" w14:textId="079B2BFA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Balanceamento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CB61C" w14:textId="3EAD70DE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2833352D" w14:textId="6FED029B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BD37E" w14:textId="57F0C104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R$ 35,00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3D61F0" w14:textId="4A29901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R$ 1.750,00</w:t>
            </w:r>
          </w:p>
        </w:tc>
      </w:tr>
      <w:tr w:rsidR="00E62686" w:rsidRPr="00606931" w14:paraId="21A35989" w14:textId="77777777" w:rsidTr="00AE0B45">
        <w:tc>
          <w:tcPr>
            <w:tcW w:w="562" w:type="dxa"/>
            <w:shd w:val="clear" w:color="auto" w:fill="auto"/>
            <w:vAlign w:val="center"/>
          </w:tcPr>
          <w:p w14:paraId="28B77A99" w14:textId="66F2BE0E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1E714C7" w14:textId="09720DAF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Troca de válvulas das rodas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4DDED" w14:textId="21D5E9C1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70929972" w14:textId="7289E526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15AE23" w14:textId="3788BF4F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R$ 48,33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C65B25" w14:textId="141FF917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R$ 2.416,50</w:t>
            </w:r>
          </w:p>
        </w:tc>
      </w:tr>
      <w:tr w:rsidR="006162BA" w:rsidRPr="00606931" w14:paraId="1D1744BA" w14:textId="77777777" w:rsidTr="00AE0B45">
        <w:tc>
          <w:tcPr>
            <w:tcW w:w="5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31EA" w14:textId="77777777" w:rsidR="006162BA" w:rsidRPr="00606931" w:rsidRDefault="006162BA" w:rsidP="00C55E3E">
            <w:pPr>
              <w:ind w:firstLine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CADC" w14:textId="687082F0" w:rsidR="006162BA" w:rsidRPr="00606931" w:rsidRDefault="006162BA" w:rsidP="00C55E3E">
            <w:pPr>
              <w:ind w:firstLine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Cs/>
                <w:sz w:val="20"/>
                <w:szCs w:val="20"/>
              </w:rPr>
              <w:t>Valor Total Estimado: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BD01" w14:textId="77777777" w:rsidR="00E62686" w:rsidRPr="00606931" w:rsidRDefault="00E62686" w:rsidP="00E62686">
            <w:pPr>
              <w:spacing w:after="0"/>
              <w:ind w:firstLine="0"/>
              <w:contextualSpacing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06931">
              <w:rPr>
                <w:rFonts w:ascii="Arial" w:hAnsi="Arial" w:cs="Arial"/>
                <w:bCs/>
                <w:sz w:val="20"/>
                <w:szCs w:val="20"/>
              </w:rPr>
              <w:t>R$ 15.244,50</w:t>
            </w:r>
          </w:p>
          <w:p w14:paraId="37F71617" w14:textId="34F7F621" w:rsidR="006162BA" w:rsidRPr="00606931" w:rsidRDefault="006162BA" w:rsidP="00C55E3E">
            <w:pPr>
              <w:ind w:firstLine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bookmarkEnd w:id="0"/>
    </w:tbl>
    <w:p w14:paraId="2F0AB7B3" w14:textId="77777777" w:rsidR="006162BA" w:rsidRPr="00AE0B45" w:rsidRDefault="006162BA" w:rsidP="00212C1D">
      <w:pPr>
        <w:rPr>
          <w:rFonts w:asciiTheme="minorHAnsi" w:hAnsiTheme="minorHAnsi" w:cstheme="minorHAnsi"/>
          <w:sz w:val="20"/>
          <w:szCs w:val="20"/>
        </w:rPr>
      </w:pPr>
    </w:p>
    <w:p w14:paraId="5A0033ED" w14:textId="77777777" w:rsidR="00787CEB" w:rsidRPr="00AE0B45" w:rsidRDefault="00787CEB" w:rsidP="00C04224">
      <w:pPr>
        <w:shd w:val="clear" w:color="auto" w:fill="F2F2F2" w:themeFill="background1" w:themeFillShade="F2"/>
        <w:rPr>
          <w:rFonts w:asciiTheme="minorHAnsi" w:hAnsiTheme="minorHAnsi" w:cstheme="minorHAnsi"/>
          <w:sz w:val="20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567"/>
        <w:gridCol w:w="1134"/>
        <w:gridCol w:w="1559"/>
      </w:tblGrid>
      <w:tr w:rsidR="008D1142" w:rsidRPr="00606931" w14:paraId="628AF6C2" w14:textId="77777777" w:rsidTr="00750A01">
        <w:trPr>
          <w:trHeight w:val="97"/>
        </w:trPr>
        <w:tc>
          <w:tcPr>
            <w:tcW w:w="562" w:type="dxa"/>
          </w:tcPr>
          <w:p w14:paraId="2EF25A48" w14:textId="77777777" w:rsidR="008D1142" w:rsidRPr="00606931" w:rsidRDefault="008D1142" w:rsidP="00C04224">
            <w:pPr>
              <w:shd w:val="clear" w:color="auto" w:fill="F2F2F2" w:themeFill="background1" w:themeFillShade="F2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227E4E34" w14:textId="18385582" w:rsidR="008D1142" w:rsidRPr="00606931" w:rsidRDefault="009472A3" w:rsidP="00C04224">
            <w:pPr>
              <w:shd w:val="clear" w:color="auto" w:fill="F2F2F2" w:themeFill="background1" w:themeFillShade="F2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LOTE 3 – CONSERTO DE PNEUS DE ÔNIBUS E CAMINHÕES</w:t>
            </w:r>
          </w:p>
        </w:tc>
      </w:tr>
      <w:tr w:rsidR="008D1142" w:rsidRPr="00606931" w14:paraId="18F7A6D3" w14:textId="77777777" w:rsidTr="00AE0B45">
        <w:tc>
          <w:tcPr>
            <w:tcW w:w="562" w:type="dxa"/>
            <w:vAlign w:val="center"/>
          </w:tcPr>
          <w:p w14:paraId="08295077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008C7E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 do 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A9E82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3FA7CF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58E16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Unit.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F8AC53" w14:textId="77777777" w:rsidR="008D1142" w:rsidRPr="00606931" w:rsidRDefault="008D1142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Total</w:t>
            </w:r>
          </w:p>
        </w:tc>
      </w:tr>
      <w:tr w:rsidR="00E62686" w:rsidRPr="00606931" w14:paraId="62860982" w14:textId="77777777" w:rsidTr="00AE0B45">
        <w:tc>
          <w:tcPr>
            <w:tcW w:w="562" w:type="dxa"/>
            <w:vAlign w:val="center"/>
          </w:tcPr>
          <w:p w14:paraId="6FC7A8BF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9A18BCA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INTERNO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7CAD82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927FF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03E53" w14:textId="77EBAC7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R$ 71,20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03C414" w14:textId="27455656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R$ 3.560,00</w:t>
            </w:r>
          </w:p>
        </w:tc>
      </w:tr>
      <w:tr w:rsidR="00E62686" w:rsidRPr="00606931" w14:paraId="08D37314" w14:textId="77777777" w:rsidTr="00AE0B45">
        <w:tc>
          <w:tcPr>
            <w:tcW w:w="562" w:type="dxa"/>
            <w:vAlign w:val="center"/>
          </w:tcPr>
          <w:p w14:paraId="4B279CB0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B2EB52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EXTERNO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A8B64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79C27D07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35F91" w14:textId="2A0DDEC3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R$ 66,80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B61869" w14:textId="7127972F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R$ 3.340,00</w:t>
            </w:r>
          </w:p>
        </w:tc>
      </w:tr>
      <w:tr w:rsidR="00E62686" w:rsidRPr="00606931" w14:paraId="3BCF3453" w14:textId="77777777" w:rsidTr="00AE0B45">
        <w:tc>
          <w:tcPr>
            <w:tcW w:w="562" w:type="dxa"/>
            <w:vAlign w:val="center"/>
          </w:tcPr>
          <w:p w14:paraId="32F26E5A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980535B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VULCANIZAÇÃO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A89AC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0E506D7E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544BA" w14:textId="16DFD6B2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R$ 212,00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AA7820" w14:textId="243C1E7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R$ 10.600,00</w:t>
            </w:r>
          </w:p>
        </w:tc>
      </w:tr>
      <w:tr w:rsidR="00E62686" w:rsidRPr="00606931" w14:paraId="418828F4" w14:textId="77777777" w:rsidTr="00AE0B45">
        <w:tc>
          <w:tcPr>
            <w:tcW w:w="562" w:type="dxa"/>
            <w:shd w:val="clear" w:color="auto" w:fill="auto"/>
            <w:vAlign w:val="center"/>
          </w:tcPr>
          <w:p w14:paraId="17171FAF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D2733A5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Montagem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F52E31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3FF9BAFC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71D53" w14:textId="31689C3C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R$ 50,20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F9CE" w14:textId="153E72B4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R$ 2.510,00</w:t>
            </w:r>
          </w:p>
        </w:tc>
      </w:tr>
      <w:tr w:rsidR="00E62686" w:rsidRPr="00606931" w14:paraId="52D8C171" w14:textId="77777777" w:rsidTr="00AE0B45">
        <w:tc>
          <w:tcPr>
            <w:tcW w:w="562" w:type="dxa"/>
            <w:shd w:val="clear" w:color="auto" w:fill="auto"/>
            <w:vAlign w:val="center"/>
          </w:tcPr>
          <w:p w14:paraId="1F97FFAB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5381399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Balanceamento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548B34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0D6D33B1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64D30F" w14:textId="17C3331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R$ 67,00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01C46A" w14:textId="368CC39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R$ 3.350,00</w:t>
            </w:r>
          </w:p>
        </w:tc>
      </w:tr>
      <w:tr w:rsidR="00E62686" w:rsidRPr="00606931" w14:paraId="7FAB223F" w14:textId="77777777" w:rsidTr="00AE0B45">
        <w:tc>
          <w:tcPr>
            <w:tcW w:w="562" w:type="dxa"/>
            <w:shd w:val="clear" w:color="auto" w:fill="auto"/>
            <w:vAlign w:val="center"/>
          </w:tcPr>
          <w:p w14:paraId="6081E8F6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2D30832" w14:textId="77777777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Troca de válvulas das rodas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EE5669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6675B184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7F7B5" w14:textId="513757F5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R$ 66,23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6C407" w14:textId="53363A6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R$ 3.311,50</w:t>
            </w:r>
          </w:p>
        </w:tc>
      </w:tr>
      <w:tr w:rsidR="008D1142" w:rsidRPr="00606931" w14:paraId="06210658" w14:textId="77777777" w:rsidTr="00AE0B45">
        <w:tc>
          <w:tcPr>
            <w:tcW w:w="5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5B1" w14:textId="77777777" w:rsidR="008D1142" w:rsidRPr="00606931" w:rsidRDefault="008D1142" w:rsidP="00C55E3E">
            <w:pPr>
              <w:ind w:firstLine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0C6A" w14:textId="77777777" w:rsidR="008D1142" w:rsidRPr="00606931" w:rsidRDefault="008D1142" w:rsidP="00C55E3E">
            <w:pPr>
              <w:ind w:firstLine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 Estimado: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14AD" w14:textId="31B27118" w:rsidR="008D1142" w:rsidRPr="00606931" w:rsidRDefault="00E62686" w:rsidP="00E62686">
            <w:pPr>
              <w:spacing w:after="0"/>
              <w:ind w:firstLine="0"/>
              <w:contextualSpacing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6931">
              <w:rPr>
                <w:rFonts w:ascii="Arial" w:hAnsi="Arial" w:cs="Arial"/>
                <w:b/>
                <w:bCs/>
                <w:sz w:val="20"/>
                <w:szCs w:val="20"/>
              </w:rPr>
              <w:t>R$ 26.671,50</w:t>
            </w:r>
          </w:p>
        </w:tc>
      </w:tr>
    </w:tbl>
    <w:p w14:paraId="4F0A8B79" w14:textId="77777777" w:rsidR="00C42FCC" w:rsidRPr="00AE0B45" w:rsidRDefault="00C42FCC">
      <w:pPr>
        <w:spacing w:after="160" w:line="259" w:lineRule="auto"/>
        <w:ind w:firstLine="0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567"/>
        <w:gridCol w:w="1134"/>
        <w:gridCol w:w="1701"/>
      </w:tblGrid>
      <w:tr w:rsidR="00C42FCC" w:rsidRPr="00606931" w14:paraId="153914BD" w14:textId="77777777" w:rsidTr="00C04224">
        <w:tc>
          <w:tcPr>
            <w:tcW w:w="562" w:type="dxa"/>
            <w:shd w:val="clear" w:color="auto" w:fill="F2F2F2" w:themeFill="background1" w:themeFillShade="F2"/>
          </w:tcPr>
          <w:p w14:paraId="6F8C3A95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shd w:val="clear" w:color="auto" w:fill="F2F2F2" w:themeFill="background1" w:themeFillShade="F2"/>
            <w:vAlign w:val="center"/>
          </w:tcPr>
          <w:p w14:paraId="71B05851" w14:textId="4676B239" w:rsidR="00C42FCC" w:rsidRPr="00606931" w:rsidRDefault="009472A3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LOTE 4 – CONSERTO DE PNEUS DE MÁQUINAS PESADAS</w:t>
            </w:r>
          </w:p>
        </w:tc>
      </w:tr>
      <w:tr w:rsidR="00C42FCC" w:rsidRPr="00606931" w14:paraId="521B9BB6" w14:textId="77777777" w:rsidTr="00AE0B45">
        <w:tc>
          <w:tcPr>
            <w:tcW w:w="562" w:type="dxa"/>
            <w:vAlign w:val="center"/>
          </w:tcPr>
          <w:p w14:paraId="49DD4D22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E4ED37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 do 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D24FA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308E64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39109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Unit.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6FBFBD" w14:textId="77777777" w:rsidR="00C42FCC" w:rsidRPr="00606931" w:rsidRDefault="00C42FCC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Preço Total</w:t>
            </w:r>
          </w:p>
        </w:tc>
      </w:tr>
      <w:tr w:rsidR="00E62686" w:rsidRPr="00606931" w14:paraId="25C2DD94" w14:textId="77777777" w:rsidTr="00AE0B45">
        <w:tc>
          <w:tcPr>
            <w:tcW w:w="562" w:type="dxa"/>
            <w:vAlign w:val="center"/>
          </w:tcPr>
          <w:p w14:paraId="08317E18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DBF248D" w14:textId="56EEE4B1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INTERNO – pneu dianteiro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EA1A26" w14:textId="3D9DD631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FA176C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14820" w14:textId="45481E9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R$ 93,58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8CECF" w14:textId="7AC980F5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R$ 9.358,00</w:t>
            </w:r>
          </w:p>
        </w:tc>
      </w:tr>
      <w:tr w:rsidR="00E62686" w:rsidRPr="00606931" w14:paraId="47E78CA0" w14:textId="77777777" w:rsidTr="00AE0B45">
        <w:tc>
          <w:tcPr>
            <w:tcW w:w="562" w:type="dxa"/>
            <w:vAlign w:val="center"/>
          </w:tcPr>
          <w:p w14:paraId="3FBB2C57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A0DA94" w14:textId="446C4CA0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INTERNO – pneu traseiro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EE127E" w14:textId="0C4A4C34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6348447D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84BA5" w14:textId="1F65208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R$ 115,83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FAE9C9" w14:textId="059CC51E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R$ 11.583,00</w:t>
            </w:r>
          </w:p>
        </w:tc>
      </w:tr>
      <w:tr w:rsidR="00E62686" w:rsidRPr="00606931" w14:paraId="7391A823" w14:textId="77777777" w:rsidTr="00AE0B45">
        <w:tc>
          <w:tcPr>
            <w:tcW w:w="562" w:type="dxa"/>
            <w:vAlign w:val="center"/>
          </w:tcPr>
          <w:p w14:paraId="190AB057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1BC7C1" w14:textId="29BBAD5F" w:rsidR="00E62686" w:rsidRPr="00606931" w:rsidRDefault="00E62686" w:rsidP="00E62686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EXTERNO – pneu dianteiro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B2243" w14:textId="1D32AF3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59EE3470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E8D33" w14:textId="6A42B19D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R$ 76,94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B8F35" w14:textId="1BA4CA33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R$ 7.694,00</w:t>
            </w:r>
          </w:p>
        </w:tc>
      </w:tr>
      <w:tr w:rsidR="00E62686" w:rsidRPr="00606931" w14:paraId="0049EFB5" w14:textId="77777777" w:rsidTr="00AE0B45">
        <w:tc>
          <w:tcPr>
            <w:tcW w:w="562" w:type="dxa"/>
            <w:shd w:val="clear" w:color="auto" w:fill="auto"/>
            <w:vAlign w:val="center"/>
          </w:tcPr>
          <w:p w14:paraId="35EC3649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EB53D4" w14:textId="5225A530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EXTERNO – pneu traseiro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FBC687" w14:textId="2AAAF56B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04FC1312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44DEA" w14:textId="1BEDCB2A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R$ 102,04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DDE292" w14:textId="0C97CC6C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R$ 10.204,00</w:t>
            </w:r>
          </w:p>
        </w:tc>
      </w:tr>
      <w:tr w:rsidR="00E62686" w:rsidRPr="00606931" w14:paraId="31F75A56" w14:textId="77777777" w:rsidTr="00AE0B45">
        <w:tc>
          <w:tcPr>
            <w:tcW w:w="562" w:type="dxa"/>
            <w:shd w:val="clear" w:color="auto" w:fill="auto"/>
            <w:vAlign w:val="center"/>
          </w:tcPr>
          <w:p w14:paraId="2F7D9F1D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14DE366" w14:textId="7EF2F2FC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VULCANIZAÇÃO – dianteiro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962F9" w14:textId="160516AD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7CF6B6A8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A4C53" w14:textId="368A0D9F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R$ 281,59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DEBCA2" w14:textId="6939640D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R$ 28.159,00</w:t>
            </w:r>
          </w:p>
        </w:tc>
      </w:tr>
      <w:tr w:rsidR="00E62686" w:rsidRPr="00606931" w14:paraId="294638C4" w14:textId="77777777" w:rsidTr="00AE0B45">
        <w:tc>
          <w:tcPr>
            <w:tcW w:w="562" w:type="dxa"/>
            <w:shd w:val="clear" w:color="auto" w:fill="auto"/>
            <w:vAlign w:val="center"/>
          </w:tcPr>
          <w:p w14:paraId="795153A7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0339A2" w14:textId="0FA5683D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Conserto de pneu – VULCANIZAÇÃO – traseiro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C6E161" w14:textId="5641DE66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26C124CD" w14:textId="7777777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D88CA" w14:textId="59C03803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R$ 315,64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658FB0" w14:textId="3E31BD8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R$ 31.564,00</w:t>
            </w:r>
          </w:p>
        </w:tc>
      </w:tr>
      <w:tr w:rsidR="00E62686" w:rsidRPr="00606931" w14:paraId="175298D0" w14:textId="77777777" w:rsidTr="00AE0B45">
        <w:tc>
          <w:tcPr>
            <w:tcW w:w="562" w:type="dxa"/>
            <w:shd w:val="clear" w:color="auto" w:fill="auto"/>
            <w:vAlign w:val="center"/>
          </w:tcPr>
          <w:p w14:paraId="7633339D" w14:textId="5E4AB29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54FFFDA" w14:textId="0DD0670B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Montagem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24BE" w14:textId="4411AD6E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57E938A1" w14:textId="4ACFA4C4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E6DC1" w14:textId="153FE5B8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R$ 135,33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3542DA" w14:textId="4F5C6DE1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R$ 13.533,00</w:t>
            </w:r>
          </w:p>
        </w:tc>
      </w:tr>
      <w:tr w:rsidR="00E62686" w:rsidRPr="00606931" w14:paraId="65D42B81" w14:textId="77777777" w:rsidTr="00AE0B45">
        <w:tc>
          <w:tcPr>
            <w:tcW w:w="562" w:type="dxa"/>
            <w:shd w:val="clear" w:color="auto" w:fill="auto"/>
            <w:vAlign w:val="center"/>
          </w:tcPr>
          <w:p w14:paraId="068D7E00" w14:textId="72B1E18E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D277833" w14:textId="0F0DC500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Balanceamento de pneus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B3130" w14:textId="703A629A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6FDAF798" w14:textId="1AF0DB9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59777B" w14:textId="27F026C2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R$ 160,00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498DDE" w14:textId="430BA809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R$ 16.000,00</w:t>
            </w:r>
          </w:p>
        </w:tc>
      </w:tr>
      <w:tr w:rsidR="00E62686" w:rsidRPr="00606931" w14:paraId="651E8113" w14:textId="77777777" w:rsidTr="00AE0B45">
        <w:tc>
          <w:tcPr>
            <w:tcW w:w="562" w:type="dxa"/>
            <w:shd w:val="clear" w:color="auto" w:fill="auto"/>
            <w:vAlign w:val="center"/>
          </w:tcPr>
          <w:p w14:paraId="61E96BCC" w14:textId="2D270637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2D956C9" w14:textId="1E4B46BA" w:rsidR="00E62686" w:rsidRPr="00606931" w:rsidRDefault="00E62686" w:rsidP="00E62686">
            <w:pPr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6069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Troca de válvulas das rodas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34983" w14:textId="04BAEDC0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08882765" w14:textId="25249795" w:rsidR="00E62686" w:rsidRPr="00606931" w:rsidRDefault="00E62686" w:rsidP="00E62686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sz w:val="20"/>
                <w:szCs w:val="20"/>
              </w:rPr>
              <w:t>Un.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C0A75" w14:textId="313A26A8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sz w:val="20"/>
                <w:szCs w:val="20"/>
              </w:rPr>
              <w:t>R$ 111,33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0A1041" w14:textId="1EE9B627" w:rsidR="00E62686" w:rsidRPr="00606931" w:rsidRDefault="00E62686" w:rsidP="00E62686">
            <w:pPr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06931">
              <w:rPr>
                <w:rFonts w:cs="Tahoma"/>
                <w:bCs/>
                <w:color w:val="000000"/>
                <w:sz w:val="20"/>
                <w:szCs w:val="20"/>
              </w:rPr>
              <w:t>R$ 11.133,00</w:t>
            </w:r>
          </w:p>
        </w:tc>
      </w:tr>
      <w:tr w:rsidR="00C42FCC" w:rsidRPr="00606931" w14:paraId="57898933" w14:textId="77777777" w:rsidTr="00AE0B45">
        <w:tc>
          <w:tcPr>
            <w:tcW w:w="5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8B47" w14:textId="77777777" w:rsidR="00C42FCC" w:rsidRPr="00606931" w:rsidRDefault="00C42FCC" w:rsidP="00C55E3E">
            <w:pPr>
              <w:ind w:firstLine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CEA0" w14:textId="77777777" w:rsidR="00C42FCC" w:rsidRPr="00606931" w:rsidRDefault="00C42FCC" w:rsidP="00C55E3E">
            <w:pPr>
              <w:ind w:firstLine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069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 Estimado: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B3EE" w14:textId="5B322D02" w:rsidR="00C42FCC" w:rsidRPr="00606931" w:rsidRDefault="00E62686" w:rsidP="00E62686">
            <w:pPr>
              <w:spacing w:after="0"/>
              <w:ind w:firstLine="0"/>
              <w:contextualSpacing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6931">
              <w:rPr>
                <w:rFonts w:ascii="Arial" w:hAnsi="Arial" w:cs="Arial"/>
                <w:b/>
                <w:bCs/>
                <w:sz w:val="20"/>
                <w:szCs w:val="20"/>
              </w:rPr>
              <w:t>R$ 139.228,00</w:t>
            </w:r>
          </w:p>
        </w:tc>
      </w:tr>
    </w:tbl>
    <w:p w14:paraId="59296982" w14:textId="77777777" w:rsidR="00AE0B45" w:rsidRDefault="00AE0B45" w:rsidP="00704630">
      <w:pPr>
        <w:jc w:val="right"/>
        <w:rPr>
          <w:rFonts w:asciiTheme="minorHAnsi" w:hAnsiTheme="minorHAnsi" w:cstheme="minorHAnsi"/>
          <w:b/>
          <w:bCs/>
          <w:sz w:val="20"/>
          <w:szCs w:val="20"/>
          <w:highlight w:val="lightGray"/>
        </w:rPr>
      </w:pPr>
    </w:p>
    <w:p w14:paraId="3E808F64" w14:textId="61FB7AF8" w:rsidR="00E62686" w:rsidRPr="00F13CEB" w:rsidRDefault="00171829" w:rsidP="00E62686">
      <w:pPr>
        <w:spacing w:after="0"/>
        <w:ind w:firstLine="0"/>
        <w:contextualSpacing w:val="0"/>
        <w:jc w:val="righ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</w:pPr>
      <w:r w:rsidRPr="00F13CEB">
        <w:rPr>
          <w:rFonts w:asciiTheme="minorHAnsi" w:hAnsiTheme="minorHAnsi" w:cstheme="minorHAnsi"/>
          <w:b/>
          <w:bCs/>
          <w:sz w:val="24"/>
          <w:szCs w:val="24"/>
        </w:rPr>
        <w:t>TOTAL GERAL ESTIMADO</w:t>
      </w:r>
      <w:r w:rsidR="00384C44" w:rsidRPr="00F13CE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E62686" w:rsidRPr="00F13CE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>R$ 191.751,00</w:t>
      </w:r>
    </w:p>
    <w:p w14:paraId="34F65888" w14:textId="379CDC55" w:rsidR="00171829" w:rsidRPr="00AE0B45" w:rsidRDefault="00171829" w:rsidP="00704630">
      <w:pPr>
        <w:jc w:val="right"/>
        <w:rPr>
          <w:rFonts w:asciiTheme="minorHAnsi" w:hAnsiTheme="minorHAnsi" w:cstheme="minorHAnsi"/>
          <w:sz w:val="20"/>
          <w:szCs w:val="20"/>
        </w:rPr>
      </w:pP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881"/>
        <w:gridCol w:w="255"/>
        <w:gridCol w:w="284"/>
        <w:gridCol w:w="312"/>
        <w:gridCol w:w="7058"/>
        <w:gridCol w:w="35"/>
      </w:tblGrid>
      <w:tr w:rsidR="00212C1D" w:rsidRPr="00AE0B45" w14:paraId="6FCDEFE4" w14:textId="77777777" w:rsidTr="000E6D9F">
        <w:trPr>
          <w:gridAfter w:val="1"/>
          <w:wAfter w:w="35" w:type="dxa"/>
        </w:trPr>
        <w:tc>
          <w:tcPr>
            <w:tcW w:w="10315" w:type="dxa"/>
            <w:gridSpan w:val="6"/>
            <w:shd w:val="clear" w:color="auto" w:fill="auto"/>
            <w:vAlign w:val="center"/>
          </w:tcPr>
          <w:p w14:paraId="5DD5D80A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Condições de Entrega(s) </w:t>
            </w:r>
          </w:p>
        </w:tc>
      </w:tr>
      <w:tr w:rsidR="00212C1D" w:rsidRPr="00AE0B45" w14:paraId="5E9B0D49" w14:textId="77777777" w:rsidTr="00606931">
        <w:trPr>
          <w:gridAfter w:val="1"/>
          <w:wAfter w:w="35" w:type="dxa"/>
        </w:trPr>
        <w:tc>
          <w:tcPr>
            <w:tcW w:w="1525" w:type="dxa"/>
            <w:shd w:val="clear" w:color="auto" w:fill="auto"/>
            <w:vAlign w:val="center"/>
          </w:tcPr>
          <w:p w14:paraId="4A78EC1F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Prazo de Entrega:</w:t>
            </w:r>
          </w:p>
        </w:tc>
        <w:tc>
          <w:tcPr>
            <w:tcW w:w="8790" w:type="dxa"/>
            <w:gridSpan w:val="5"/>
            <w:shd w:val="clear" w:color="auto" w:fill="auto"/>
            <w:vAlign w:val="center"/>
          </w:tcPr>
          <w:p w14:paraId="1C07497D" w14:textId="3CBC2B88" w:rsidR="00212C1D" w:rsidRPr="00AE0B45" w:rsidRDefault="005E7268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dias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 contar da autorização 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ordem de execução de serviço, nota de empenho de despesa, ou emissão de outro instrumento hábil equivalente.</w:t>
            </w:r>
          </w:p>
        </w:tc>
      </w:tr>
      <w:tr w:rsidR="00212C1D" w:rsidRPr="00AE0B45" w14:paraId="43E48BC6" w14:textId="77777777" w:rsidTr="00606931">
        <w:trPr>
          <w:gridAfter w:val="1"/>
          <w:wAfter w:w="35" w:type="dxa"/>
        </w:trPr>
        <w:tc>
          <w:tcPr>
            <w:tcW w:w="2406" w:type="dxa"/>
            <w:gridSpan w:val="2"/>
            <w:shd w:val="clear" w:color="auto" w:fill="auto"/>
            <w:vAlign w:val="center"/>
          </w:tcPr>
          <w:p w14:paraId="7D59914B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Horário(s) de entrega(s):</w:t>
            </w:r>
          </w:p>
        </w:tc>
        <w:tc>
          <w:tcPr>
            <w:tcW w:w="7909" w:type="dxa"/>
            <w:gridSpan w:val="4"/>
            <w:shd w:val="clear" w:color="auto" w:fill="auto"/>
            <w:vAlign w:val="center"/>
          </w:tcPr>
          <w:p w14:paraId="7027DA09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De segunda a sexta-feira, das 8h às 11h e das 13h e 30min às 16h e 30min.</w:t>
            </w:r>
          </w:p>
        </w:tc>
      </w:tr>
      <w:tr w:rsidR="000E6D9F" w:rsidRPr="00AE0B45" w14:paraId="00762F03" w14:textId="77777777" w:rsidTr="00606931">
        <w:trPr>
          <w:trHeight w:val="587"/>
        </w:trPr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723F70" w14:textId="77777777" w:rsidR="000E6D9F" w:rsidRPr="00AE0B45" w:rsidRDefault="000E6D9F">
            <w:pPr>
              <w:spacing w:line="256" w:lineRule="auto"/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Local de prestação do serviço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F868AD" w14:textId="77777777" w:rsidR="000E6D9F" w:rsidRPr="00AE0B45" w:rsidRDefault="000E6D9F">
            <w:pPr>
              <w:spacing w:line="25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D4AF82" w14:textId="77777777" w:rsidR="000E6D9F" w:rsidRPr="00AE0B45" w:rsidRDefault="000E6D9F">
            <w:pPr>
              <w:spacing w:line="25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DCEF8" w14:textId="77777777" w:rsidR="000E6D9F" w:rsidRPr="00AE0B45" w:rsidRDefault="000E6D9F">
            <w:pPr>
              <w:spacing w:line="25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B12C" w14:textId="6E3D8846" w:rsidR="000E6D9F" w:rsidRPr="00AE0B45" w:rsidRDefault="000E6D9F">
            <w:pPr>
              <w:spacing w:line="25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- Locais conforme demanda e formulário/OC/autorização das Secretaria da Prefeitura Municipal de Imigrante;</w:t>
            </w:r>
            <w:r w:rsidR="00667B8D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3C66" w:rsidRPr="00AE0B45">
              <w:rPr>
                <w:rFonts w:asciiTheme="minorHAnsi" w:hAnsiTheme="minorHAnsi" w:cstheme="minorHAnsi"/>
                <w:sz w:val="20"/>
                <w:szCs w:val="20"/>
              </w:rPr>
              <w:t>pátio da Secretaria de Obras ou da Secretaria Requisitante, e</w:t>
            </w:r>
            <w:r w:rsidR="00667B8D" w:rsidRPr="00AE0B4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16EBDDA" w14:textId="0299FD8F" w:rsidR="000E6D9F" w:rsidRPr="00AE0B45" w:rsidRDefault="000E6D9F">
            <w:pPr>
              <w:spacing w:line="25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- No estabelecimento de prestação de serviços da empresa contratada.</w:t>
            </w:r>
          </w:p>
        </w:tc>
      </w:tr>
    </w:tbl>
    <w:p w14:paraId="07A7A8BA" w14:textId="77777777" w:rsidR="00787CEB" w:rsidRPr="00AE0B45" w:rsidRDefault="00787CEB" w:rsidP="00212C1D">
      <w:pPr>
        <w:rPr>
          <w:rFonts w:asciiTheme="minorHAnsi" w:hAnsiTheme="minorHAnsi" w:cstheme="minorHAnsi"/>
          <w:sz w:val="20"/>
          <w:szCs w:val="20"/>
        </w:rPr>
      </w:pPr>
    </w:p>
    <w:p w14:paraId="027DF7FD" w14:textId="77777777" w:rsidR="00787CEB" w:rsidRPr="00AE0B45" w:rsidRDefault="00787CEB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AE0B45" w14:paraId="37100F2B" w14:textId="77777777" w:rsidTr="00C55E3E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Regras para Recebimento Provisório e/ou Definitivo</w:t>
            </w:r>
          </w:p>
        </w:tc>
      </w:tr>
      <w:tr w:rsidR="00212C1D" w:rsidRPr="00AE0B45" w14:paraId="147057DF" w14:textId="77777777" w:rsidTr="00C55E3E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Quando do recebimento provisório e/ou definitivo, o(s)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fisca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) do contrato deverão verificar se a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quantidade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qualidade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pontualidade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AE0B45" w:rsidRDefault="00212C1D" w:rsidP="00212C1D">
      <w:pPr>
        <w:rPr>
          <w:rFonts w:asciiTheme="minorHAnsi" w:hAnsiTheme="minorHAnsi" w:cstheme="minorHAnsi"/>
          <w:sz w:val="20"/>
          <w:szCs w:val="20"/>
        </w:rPr>
      </w:pPr>
    </w:p>
    <w:p w14:paraId="23344B69" w14:textId="77777777" w:rsidR="00787CEB" w:rsidRPr="00AE0B45" w:rsidRDefault="00787CEB" w:rsidP="00212C1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AE0B45" w14:paraId="77410DD9" w14:textId="77777777" w:rsidTr="00C55E3E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Garantia, Manutenção e Assistência Técnica</w:t>
            </w:r>
            <w:proofErr w:type="gramEnd"/>
          </w:p>
        </w:tc>
      </w:tr>
      <w:tr w:rsidR="00212C1D" w:rsidRPr="00AE0B45" w14:paraId="4172F70F" w14:textId="77777777" w:rsidTr="00C55E3E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044DB275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Outro (especificar abaixo):</w:t>
            </w:r>
          </w:p>
        </w:tc>
      </w:tr>
      <w:tr w:rsidR="00212C1D" w:rsidRPr="00AE0B45" w14:paraId="046821AD" w14:textId="77777777" w:rsidTr="00C55E3E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AE0B45" w:rsidRDefault="001F21F3" w:rsidP="001F21F3">
            <w:pPr>
              <w:ind w:firstLine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Obs.:</w:t>
            </w:r>
          </w:p>
          <w:p w14:paraId="38FA574A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a) O prazo de garantia é contado a partir do recebimento provisório, no caso de defeitos e/ou vício(s) de produto(s) e/ou serviço(s).</w:t>
            </w:r>
          </w:p>
          <w:p w14:paraId="76F3881F" w14:textId="10FB292E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dias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, a partir da comunicação por escrito.</w:t>
            </w:r>
          </w:p>
          <w:p w14:paraId="77BA1015" w14:textId="77777777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c) Tratando-se de vício oculto, o prazo decadencial inicia-se no momento em que ficar evidenciado o vício.</w:t>
            </w:r>
          </w:p>
          <w:p w14:paraId="2549344D" w14:textId="38265BDB" w:rsidR="00212C1D" w:rsidRPr="00AE0B45" w:rsidRDefault="00212C1D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d) Quando a manutenção e/ou assistência técnica não puder ser realizada nas dependências do Município,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 custos de transporte (envio e retorno) serão de responsabilidade do fornecedor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2642C73B" w14:textId="40F43675" w:rsidR="00B970FE" w:rsidRPr="00AE0B45" w:rsidRDefault="00212C1D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AE0B45" w14:paraId="2213B192" w14:textId="77777777" w:rsidTr="00C55E3E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3A21331A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Até 2 anos, por se tratar de SRP, comprovado o preço vantajoso, cfe. art. 84 da Lei 14.133/21</w:t>
            </w:r>
            <w:r w:rsidR="0009459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94591" w:rsidRPr="00AE0B45">
              <w:rPr>
                <w:rFonts w:asciiTheme="minorHAnsi" w:hAnsiTheme="minorHAnsi" w:cstheme="minorHAnsi"/>
                <w:b/>
                <w:sz w:val="20"/>
                <w:szCs w:val="20"/>
              </w:rPr>
              <w:t>(12 meses, prorrogável)</w:t>
            </w:r>
          </w:p>
        </w:tc>
      </w:tr>
      <w:tr w:rsidR="00212C1D" w:rsidRPr="00AE0B45" w14:paraId="070B4BA0" w14:textId="77777777" w:rsidTr="00C55E3E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Período vigência previsto:</w:t>
            </w:r>
          </w:p>
        </w:tc>
      </w:tr>
      <w:tr w:rsidR="00212C1D" w:rsidRPr="00AE0B45" w14:paraId="3A001B19" w14:textId="77777777" w:rsidTr="00C55E3E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7777777" w:rsidR="00212C1D" w:rsidRPr="00AE0B45" w:rsidRDefault="00212C1D" w:rsidP="00C55E3E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XX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mês(es)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212C1D" w:rsidRPr="00AE0B45" w14:paraId="429780AC" w14:textId="77777777" w:rsidTr="00C55E3E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Até 10 anos, cfe. art. 107 da Lei 14.133/21</w:t>
            </w:r>
          </w:p>
        </w:tc>
      </w:tr>
      <w:tr w:rsidR="00212C1D" w:rsidRPr="00AE0B45" w14:paraId="3E5DD595" w14:textId="77777777" w:rsidTr="00C55E3E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Até 35 anos, cfe. inciso I do art. 110 da Lei 14.133/21</w:t>
            </w:r>
          </w:p>
        </w:tc>
      </w:tr>
      <w:tr w:rsidR="00212C1D" w:rsidRPr="00AE0B45" w14:paraId="592B5B31" w14:textId="77777777" w:rsidTr="00C55E3E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Obs.:</w:t>
            </w:r>
          </w:p>
          <w:p w14:paraId="5555D724" w14:textId="77777777" w:rsidR="00212C1D" w:rsidRPr="00AE0B45" w:rsidRDefault="00212C1D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AE0B45" w:rsidRDefault="00212C1D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AE0B45" w14:paraId="466CB15C" w14:textId="77777777" w:rsidTr="00C55E3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38658711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Valor </w:t>
            </w:r>
            <w:r w:rsidR="00742535" w:rsidRPr="00AE0B45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otal </w:t>
            </w:r>
            <w:r w:rsidR="00742535" w:rsidRPr="00AE0B4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stimado: R$ </w:t>
            </w:r>
            <w:r w:rsidR="00EC610D">
              <w:rPr>
                <w:rFonts w:asciiTheme="minorHAnsi" w:hAnsiTheme="minorHAnsi" w:cstheme="minorHAnsi"/>
                <w:sz w:val="20"/>
                <w:szCs w:val="20"/>
              </w:rPr>
              <w:t>191.751,00</w:t>
            </w:r>
            <w:bookmarkStart w:id="1" w:name="_GoBack"/>
            <w:bookmarkEnd w:id="1"/>
          </w:p>
        </w:tc>
      </w:tr>
    </w:tbl>
    <w:p w14:paraId="595B76B6" w14:textId="7EA8D340" w:rsidR="00016749" w:rsidRPr="00AE0B45" w:rsidRDefault="0001674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AE0B45" w14:paraId="28AC1B89" w14:textId="77777777" w:rsidTr="00C55E3E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5A7423E1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363CC973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 ) Não se aplica, pois se trata de SRP.</w:t>
            </w:r>
          </w:p>
        </w:tc>
      </w:tr>
    </w:tbl>
    <w:p w14:paraId="36C8CA25" w14:textId="77777777" w:rsidR="00016749" w:rsidRPr="00AE0B45" w:rsidRDefault="0001674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AE0B45" w14:paraId="5973237A" w14:textId="77777777" w:rsidTr="00C55E3E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AE0B45" w:rsidRDefault="00016749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Estudo Técnico Preliminar - ETP</w:t>
            </w:r>
          </w:p>
        </w:tc>
      </w:tr>
      <w:tr w:rsidR="00016749" w:rsidRPr="00AE0B45" w14:paraId="75B4009B" w14:textId="77777777" w:rsidTr="00C55E3E">
        <w:tc>
          <w:tcPr>
            <w:tcW w:w="3085" w:type="dxa"/>
            <w:shd w:val="clear" w:color="auto" w:fill="auto"/>
            <w:vAlign w:val="center"/>
          </w:tcPr>
          <w:p w14:paraId="3124DEC8" w14:textId="111D35D2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0E6D9F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E0B4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Dispensado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E0B4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Facultado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(Dec. Munic. 2.130/23, art. 46)</w:t>
            </w:r>
          </w:p>
        </w:tc>
      </w:tr>
    </w:tbl>
    <w:p w14:paraId="6D16A84A" w14:textId="77777777" w:rsidR="00016749" w:rsidRPr="00AE0B45" w:rsidRDefault="00016749" w:rsidP="0001674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AE0B45" w14:paraId="3CB0BBE6" w14:textId="77777777" w:rsidTr="00C55E3E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AE0B45" w:rsidRDefault="00016749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Fundamento(s) de Fato e de Direito</w:t>
            </w:r>
          </w:p>
        </w:tc>
      </w:tr>
      <w:tr w:rsidR="00016749" w:rsidRPr="00AE0B45" w14:paraId="52BE2E5F" w14:textId="77777777" w:rsidTr="00C55E3E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A645AD3" w14:textId="28FE7347" w:rsidR="000E6D9F" w:rsidRPr="00AE0B45" w:rsidRDefault="00D154B4" w:rsidP="000E6D9F">
            <w:pPr>
              <w:spacing w:line="27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Lei Federal Nº14.133/21 e Decreto Nº2130/23.</w:t>
            </w:r>
          </w:p>
          <w:p w14:paraId="2594A657" w14:textId="77777777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6749" w:rsidRPr="00AE0B45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183ECE49" w:rsidR="00016749" w:rsidRPr="00AE0B45" w:rsidRDefault="00D154B4" w:rsidP="00313909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Tendo em vista o findar da Licitação Nº 007/2023 e Ata de Registro de Preços nº 004/2023 e da necessidade de continuidade da prestação de serviços de conserto de pneus das Secretarias Municipais de Imigrante</w:t>
            </w:r>
            <w:r w:rsidR="00094591" w:rsidRPr="00AE0B45">
              <w:rPr>
                <w:rFonts w:asciiTheme="minorHAnsi" w:hAnsiTheme="minorHAnsi" w:cstheme="minorHAnsi"/>
                <w:sz w:val="20"/>
                <w:szCs w:val="20"/>
              </w:rPr>
              <w:t>, tendo em vista que diversos pneus restam danificados devido prestação de serviços diários, principalmente da Secretaria de Obras, sendo que se torna mais viável e econômico o conserto e recuperação do pneu do que a aquisição de um novo.</w:t>
            </w:r>
          </w:p>
        </w:tc>
      </w:tr>
    </w:tbl>
    <w:p w14:paraId="22F9073C" w14:textId="167D12C2" w:rsidR="00DD1CD6" w:rsidRPr="00AE0B45" w:rsidRDefault="0001674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AE0B45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BCFBD65" w14:textId="06D3ED4B" w:rsidR="00016749" w:rsidRPr="00AE0B45" w:rsidRDefault="00094591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>Conforme Estudo Técnico Preliminar.</w:t>
            </w:r>
          </w:p>
        </w:tc>
      </w:tr>
    </w:tbl>
    <w:p w14:paraId="61AEB737" w14:textId="3D168F29" w:rsidR="00016749" w:rsidRPr="00AE0B45" w:rsidRDefault="0001674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AE0B45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1FF34EB4" w14:textId="77777777" w:rsidR="004A43DA" w:rsidRDefault="00F83915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O serviço de conserto de pneus</w:t>
            </w:r>
            <w:r w:rsidR="00C55E3E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(reparo) 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pode envolver reparação (plug/cogumelo/PRP</w:t>
            </w:r>
            <w:r w:rsidR="00C55E3E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="00C55E3E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etc</w:t>
            </w:r>
            <w:proofErr w:type="spellEnd"/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), onde o profissional desmonta o pneu,</w:t>
            </w:r>
            <w:r w:rsidR="00C55E3E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avalia, 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insere a PRP</w:t>
            </w:r>
            <w:r w:rsidR="00C55E3E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pelo lado de dentro do furo e fixa com cola para obter a vedação completa; com remendo macarrão, inserido pelo lado de fora; ou com um remendo.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</w:t>
            </w:r>
          </w:p>
          <w:p w14:paraId="5BB1506C" w14:textId="77777777" w:rsidR="004A43DA" w:rsidRDefault="00C55E3E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O serviço de vulcanização envolve o conserto de pneu a quente, com a raspagem, aplicação de cola, fixação de um material emborrachado, aplicação de cola e inserção de</w:t>
            </w:r>
            <w:r w:rsidR="004A43DA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vulcanite, e prensado com calor para unir as moléculas da borracha e formar o remendo adequado.</w:t>
            </w:r>
          </w:p>
          <w:p w14:paraId="406FAB11" w14:textId="77777777" w:rsidR="004A43DA" w:rsidRDefault="009C6541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O serviço de conserto deverá ser realizado em até 2 (dois) dias úteis. </w:t>
            </w:r>
          </w:p>
          <w:p w14:paraId="65ABBCBB" w14:textId="77777777" w:rsidR="004A43DA" w:rsidRDefault="009C6541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Conserto será realizado no pátio da Secretaria Municipal de Obras</w:t>
            </w:r>
            <w:r w:rsidR="00094591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ou Secretaria requisitante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, salvo casos específicos, o</w:t>
            </w:r>
            <w:r w:rsidR="00094591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nde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</w:t>
            </w:r>
            <w:r w:rsidR="00094591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o 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deslocamento para conserto</w:t>
            </w:r>
            <w:r w:rsidR="00094591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(retirada e devolução)</w:t>
            </w: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corre por parte da contratada</w:t>
            </w:r>
            <w:r w:rsidR="00094591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.</w:t>
            </w:r>
          </w:p>
          <w:p w14:paraId="134C53FC" w14:textId="77777777" w:rsidR="004A43DA" w:rsidRDefault="009C6541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A contratada deverá dispor de todos equipamentos, </w:t>
            </w:r>
            <w:proofErr w:type="spellStart"/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EPI’s</w:t>
            </w:r>
            <w:proofErr w:type="spellEnd"/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e materiais para realizar o serviço ou objeto em questão. </w:t>
            </w:r>
          </w:p>
          <w:p w14:paraId="06B7B4D7" w14:textId="2069BB8A" w:rsidR="00E0126A" w:rsidRPr="004A43DA" w:rsidRDefault="009C6541" w:rsidP="004A43DA">
            <w:pPr>
              <w:pStyle w:val="PargrafodaLista"/>
              <w:numPr>
                <w:ilvl w:val="0"/>
                <w:numId w:val="23"/>
              </w:numPr>
              <w:spacing w:after="0" w:line="276" w:lineRule="auto"/>
              <w:ind w:left="454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A contratada é responsável por todo e qualquer incidente que acontecer durante a execução do serviço</w:t>
            </w:r>
            <w:r w:rsidR="00AE0B45" w:rsidRPr="004A43DA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.</w:t>
            </w:r>
          </w:p>
        </w:tc>
      </w:tr>
    </w:tbl>
    <w:p w14:paraId="72A67D2E" w14:textId="77777777" w:rsidR="00016749" w:rsidRPr="00AE0B45" w:rsidRDefault="00016749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Indicação(ões) de Marca(s) e Necessidade de Amostra e/ou Teste de Conformidade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737"/>
        <w:gridCol w:w="966"/>
        <w:gridCol w:w="2977"/>
        <w:gridCol w:w="1160"/>
      </w:tblGrid>
      <w:tr w:rsidR="00016749" w:rsidRPr="00AE0B45" w14:paraId="41244AE0" w14:textId="77777777" w:rsidTr="007439C5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7E98561C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Proc. Adm. de Pré-Qualificação:</w:t>
            </w: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Proc. Adm. de Vedação de Marca: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1A3FBB9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XX.XXX/XX</w:t>
            </w:r>
          </w:p>
        </w:tc>
      </w:tr>
      <w:tr w:rsidR="00016749" w:rsidRPr="00AE0B45" w14:paraId="0B564CB8" w14:textId="77777777" w:rsidTr="007439C5">
        <w:trPr>
          <w:trHeight w:val="137"/>
        </w:trPr>
        <w:tc>
          <w:tcPr>
            <w:tcW w:w="5240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5F08E42B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Sim 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Justificar ite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m(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ns</w:t>
            </w:r>
            <w:proofErr w:type="spellEnd"/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 escolha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da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marca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40559" w:rsidRPr="00AE0B4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abaixo:</w:t>
            </w:r>
          </w:p>
        </w:tc>
        <w:tc>
          <w:tcPr>
            <w:tcW w:w="5103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AE0B45" w:rsidRDefault="0001674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6749" w:rsidRPr="00AE0B45" w14:paraId="41E86D63" w14:textId="77777777" w:rsidTr="007439C5">
        <w:trPr>
          <w:trHeight w:val="195"/>
        </w:trPr>
        <w:tc>
          <w:tcPr>
            <w:tcW w:w="10343" w:type="dxa"/>
            <w:gridSpan w:val="6"/>
            <w:tcBorders>
              <w:top w:val="nil"/>
            </w:tcBorders>
            <w:shd w:val="clear" w:color="auto" w:fill="auto"/>
          </w:tcPr>
          <w:p w14:paraId="08C9D476" w14:textId="77777777" w:rsidR="00016749" w:rsidRPr="00AE0B45" w:rsidRDefault="00016749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8CE4D9" w14:textId="401BA887" w:rsidR="00EC1F26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lastRenderedPageBreak/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AE0B45" w14:paraId="552404AA" w14:textId="77777777" w:rsidTr="00C55E3E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Fornecimento e prestação de serviço associado </w:t>
            </w:r>
          </w:p>
        </w:tc>
      </w:tr>
      <w:tr w:rsidR="00EC1F26" w:rsidRPr="00AE0B45" w14:paraId="0DDAF423" w14:textId="77777777" w:rsidTr="00C55E3E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Contratação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semi-integrada</w:t>
            </w:r>
            <w:proofErr w:type="spellEnd"/>
          </w:p>
        </w:tc>
      </w:tr>
      <w:tr w:rsidR="00EC1F26" w:rsidRPr="00AE0B45" w14:paraId="4796E3F5" w14:textId="77777777" w:rsidTr="00C55E3E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Empreitada integral</w:t>
            </w:r>
          </w:p>
        </w:tc>
      </w:tr>
      <w:tr w:rsidR="00C03629" w:rsidRPr="00AE0B45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17E7AF46" w:rsidR="00C03629" w:rsidRPr="00AE0B45" w:rsidRDefault="00C03629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Outro (Especificar abaixo):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Prestação de serviços</w:t>
            </w:r>
          </w:p>
        </w:tc>
      </w:tr>
    </w:tbl>
    <w:p w14:paraId="4426EC2F" w14:textId="7AB7C9C3" w:rsidR="00EC1F26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AE0B45" w14:paraId="19109A75" w14:textId="77777777" w:rsidTr="00C55E3E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0393A970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Cfe. descrito abaixo:</w:t>
            </w:r>
          </w:p>
        </w:tc>
      </w:tr>
      <w:tr w:rsidR="00EC1F26" w:rsidRPr="00AE0B45" w14:paraId="7062A86B" w14:textId="77777777" w:rsidTr="00C55E3E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indicados.</w:t>
            </w:r>
          </w:p>
          <w:p w14:paraId="47F9A216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Whatsapp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®,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Telegram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®,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Signal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®, entre outros), entregues pessoalmente, ou ainda, mediante correspondência registrada.</w:t>
            </w:r>
          </w:p>
          <w:p w14:paraId="4ECBFC02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AE0B45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Obs.:</w:t>
            </w:r>
            <w:r w:rsidR="00C03629"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) de contrato(s) estão dispostas nos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arts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. 20 </w:t>
            </w: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26 do Decreto Municipal 2.130/23.</w:t>
            </w:r>
          </w:p>
        </w:tc>
      </w:tr>
    </w:tbl>
    <w:p w14:paraId="77C43DAA" w14:textId="4703EEF3" w:rsidR="00EC1F26" w:rsidRPr="00AE0B45" w:rsidRDefault="00EC1F26" w:rsidP="00EC1F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AE0B45" w14:paraId="65CD62CD" w14:textId="77777777" w:rsidTr="00C55E3E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AE0B45" w:rsidRDefault="00EC1F26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Designação do(s) Gestor(es) </w:t>
            </w:r>
            <w:proofErr w:type="gramStart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e/ou Fiscal</w:t>
            </w:r>
            <w:proofErr w:type="gramEnd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proofErr w:type="spellStart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de Contrato(s)</w:t>
            </w:r>
          </w:p>
        </w:tc>
      </w:tr>
      <w:tr w:rsidR="00EC1F26" w:rsidRPr="00AE0B45" w14:paraId="24E9090A" w14:textId="77777777" w:rsidTr="00C55E3E">
        <w:tc>
          <w:tcPr>
            <w:tcW w:w="10314" w:type="dxa"/>
            <w:shd w:val="clear" w:color="auto" w:fill="auto"/>
            <w:vAlign w:val="center"/>
          </w:tcPr>
          <w:p w14:paraId="13545261" w14:textId="52D7E6B5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AE0B45" w14:paraId="6A7F358B" w14:textId="77777777" w:rsidTr="00C55E3E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</w:t>
            </w:r>
          </w:p>
        </w:tc>
      </w:tr>
      <w:tr w:rsidR="00EC1F26" w:rsidRPr="00AE0B45" w14:paraId="0C8CC0FE" w14:textId="77777777" w:rsidTr="00C55E3E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3FBA905C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Em caso de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fornecimento de bens e/ou prestação de serviços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, atestado o recebimento provisório do objeto pelo(s) fiscal(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), o pagamento se dará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 até 10 dias úteis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da entrega da nota fiscal e/ou de documentos complementares ao setor contábil </w:t>
            </w:r>
          </w:p>
        </w:tc>
      </w:tr>
      <w:tr w:rsidR="00EC1F26" w:rsidRPr="00AE0B45" w14:paraId="07D26551" w14:textId="77777777" w:rsidTr="00C55E3E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Em caso de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Obras e Serviços de Engenharia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, cfe. cronograma físico-financeiro disponível no processo</w:t>
            </w:r>
          </w:p>
        </w:tc>
      </w:tr>
      <w:tr w:rsidR="00EC1F26" w:rsidRPr="00AE0B45" w14:paraId="7FA13622" w14:textId="77777777" w:rsidTr="00C55E3E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77777777" w:rsidR="00EC1F26" w:rsidRPr="00AE0B45" w:rsidRDefault="00EC1F26" w:rsidP="00C36A0F">
            <w:pPr>
              <w:ind w:right="-84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1F26" w:rsidRPr="00AE0B45" w14:paraId="230CCA7A" w14:textId="77777777" w:rsidTr="00C55E3E">
        <w:trPr>
          <w:trHeight w:val="312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FF4A3E" w14:textId="676CB4BE" w:rsidR="00F45F3D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AE0B45" w14:paraId="06644EAD" w14:textId="77777777" w:rsidTr="00C55E3E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AE0B45" w14:paraId="0B9A54C6" w14:textId="77777777" w:rsidTr="00C55E3E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32E94972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Técnica e Preço</w:t>
            </w:r>
          </w:p>
        </w:tc>
      </w:tr>
      <w:tr w:rsidR="00EC1F26" w:rsidRPr="00AE0B45" w14:paraId="4A8BA7F8" w14:textId="77777777" w:rsidTr="00C55E3E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Maior Retorno Econômico</w:t>
            </w:r>
          </w:p>
        </w:tc>
      </w:tr>
    </w:tbl>
    <w:p w14:paraId="505EDE46" w14:textId="223AA899" w:rsidR="00EC1F26" w:rsidRPr="00AE0B45" w:rsidRDefault="00EC1F26" w:rsidP="00EC1F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AE0B45" w14:paraId="46A55683" w14:textId="77777777" w:rsidTr="00C55E3E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AE0B45" w:rsidRDefault="00EC1F26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Exigência(s) de Qualificação(ões</w:t>
            </w:r>
            <w:proofErr w:type="gramStart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Técnica</w:t>
            </w:r>
            <w:proofErr w:type="gramEnd"/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(s) do(s) Fornecedor(es) e/ou Objeto(s)</w:t>
            </w:r>
          </w:p>
        </w:tc>
      </w:tr>
      <w:tr w:rsidR="00EC1F26" w:rsidRPr="00AE0B45" w14:paraId="2727D7E0" w14:textId="77777777" w:rsidTr="00C55E3E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3AB357B5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Sim, cfe. detalhado abaixo</w:t>
            </w:r>
          </w:p>
        </w:tc>
      </w:tr>
      <w:tr w:rsidR="00EC1F26" w:rsidRPr="00AE0B45" w14:paraId="033EBA04" w14:textId="77777777" w:rsidTr="00C55E3E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6331B45" w14:textId="77777777" w:rsidR="00AE0B45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Descrever as qualificações técnico-profissionais e/ou técnico-operacionais exigidas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E916CE4" w14:textId="70F962EB" w:rsidR="00094591" w:rsidRPr="00426AE1" w:rsidRDefault="009C6541" w:rsidP="00FF3D72">
            <w:pPr>
              <w:pStyle w:val="PargrafodaLista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Atestado de Capacidade técnic</w:t>
            </w:r>
            <w:r w:rsidR="00094591" w:rsidRPr="00AE0B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-operacional: Comprovação de aptidão para o fornecimento em características, quantidades e prazos compatíveis com o objeto desta licitação e/ou prestação de serviços, mediante a apresentação de atestado fornecido por pessoas jurídicas de direito público ou privado</w:t>
            </w:r>
            <w:r w:rsidR="00094591" w:rsidRPr="00AE0B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1F26" w:rsidRPr="00AE0B45" w14:paraId="0C2987C2" w14:textId="77777777" w:rsidTr="00C55E3E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F62CC80" w14:textId="792AACB5" w:rsidR="00EC1F26" w:rsidRPr="00AE0B45" w:rsidRDefault="00EC1F26" w:rsidP="00EC1F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AE0B45" w14:paraId="06872614" w14:textId="77777777" w:rsidTr="00C55E3E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AE0B45" w:rsidRDefault="00EC1F26" w:rsidP="00C55E3E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Exigência(s) de Qualificação Econômico-financeira(s)</w:t>
            </w:r>
          </w:p>
        </w:tc>
      </w:tr>
      <w:tr w:rsidR="00EC1F26" w:rsidRPr="00AE0B45" w14:paraId="32B28AFD" w14:textId="77777777" w:rsidTr="00C55E3E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04465D1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 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Sim, cfe. detalhado abaixo</w:t>
            </w:r>
          </w:p>
        </w:tc>
      </w:tr>
      <w:tr w:rsidR="00EC1F26" w:rsidRPr="00AE0B45" w14:paraId="156C8A43" w14:textId="77777777" w:rsidTr="00C55E3E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Descrever as qualificações econômico-financeiras exigidas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1F26" w:rsidRPr="00AE0B45" w14:paraId="3E51D2AF" w14:textId="77777777" w:rsidTr="00C55E3E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B700F9" w14:textId="0D918BE3" w:rsidR="00EC1F26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Fracionamento I</w:t>
      </w:r>
      <w:r w:rsidR="00DF6896" w:rsidRPr="00AE0B45">
        <w:rPr>
          <w:rFonts w:asciiTheme="minorHAnsi" w:hAnsiTheme="minorHAnsi" w:cstheme="minorHAnsi"/>
          <w:sz w:val="20"/>
          <w:szCs w:val="20"/>
        </w:rPr>
        <w:t>RREGULAR</w:t>
      </w:r>
      <w:r w:rsidRPr="00AE0B45">
        <w:rPr>
          <w:rFonts w:asciiTheme="minorHAnsi" w:hAnsiTheme="minorHAnsi" w:cstheme="minorHAnsi"/>
          <w:sz w:val="20"/>
          <w:szCs w:val="20"/>
        </w:rP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AE0B45" w14:paraId="27E1812E" w14:textId="77777777" w:rsidTr="00C55E3E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0B02E4B6" w:rsidR="00EC1F26" w:rsidRPr="00AE0B45" w:rsidRDefault="00EC1F26" w:rsidP="00C55E3E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27431031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FOI(RAM) ANALISADA(S)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à(s) divisibilidade(s) de todo(s) o(s) objeto(s) e</w:t>
            </w:r>
            <w:r w:rsidR="00F55592" w:rsidRPr="00AE0B4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0175A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investigando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363A34" w:rsidRPr="00AE0B45">
              <w:rPr>
                <w:rFonts w:asciiTheme="minorHAnsi" w:hAnsiTheme="minorHAnsi" w:cstheme="minorHAnsi"/>
                <w:sz w:val="20"/>
                <w:szCs w:val="20"/>
              </w:rPr>
              <w:t>todas as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transações</w:t>
            </w:r>
            <w:r w:rsidR="00A5128F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realizadas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A5128F" w:rsidRPr="00AE0B45">
              <w:rPr>
                <w:rFonts w:asciiTheme="minorHAnsi" w:hAnsiTheme="minorHAnsi" w:cstheme="minorHAnsi"/>
                <w:sz w:val="20"/>
                <w:szCs w:val="20"/>
              </w:rPr>
              <w:t>pelo Município</w:t>
            </w:r>
            <w:r w:rsidR="00A5128F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e </w:t>
            </w:r>
            <w:r w:rsidR="00A5128F" w:rsidRPr="00AE0B45">
              <w:rPr>
                <w:rFonts w:asciiTheme="minorHAnsi" w:hAnsiTheme="minorHAnsi" w:cstheme="minorHAnsi"/>
                <w:sz w:val="20"/>
                <w:szCs w:val="20"/>
              </w:rPr>
              <w:t>também</w:t>
            </w:r>
            <w:r w:rsidR="00A5128F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363A34" w:rsidRPr="00AE0B45">
              <w:rPr>
                <w:rFonts w:asciiTheme="minorHAnsi" w:hAnsiTheme="minorHAnsi" w:cstheme="minorHAnsi"/>
                <w:bCs/>
                <w:sz w:val="20"/>
                <w:szCs w:val="20"/>
              </w:rPr>
              <w:t>o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somatório d</w:t>
            </w:r>
            <w:r w:rsidR="0064660F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AS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despesas </w:t>
            </w:r>
            <w:r w:rsidR="00A5128F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realizadas 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no exercício financeiro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55592"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ATESTAMOS QUE NÃO HÁ </w:t>
            </w:r>
            <w:r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contratações </w:t>
            </w:r>
            <w:r w:rsidR="00363A34" w:rsidRPr="00AE0B4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com objetos de mesma natureza</w:t>
            </w:r>
            <w:r w:rsidR="00363A34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que caracterizem 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FRACIONAMENTO I</w:t>
            </w:r>
            <w:r w:rsidR="0064660F"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RREGULAR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 DESPESAS</w:t>
            </w:r>
            <w:r w:rsidR="00A5128F" w:rsidRPr="00AE0B4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, </w:t>
            </w:r>
            <w:r w:rsidR="00A5128F" w:rsidRPr="00AE0B45">
              <w:rPr>
                <w:rFonts w:asciiTheme="minorHAnsi" w:hAnsiTheme="minorHAnsi" w:cstheme="minorHAnsi"/>
                <w:bCs/>
                <w:sz w:val="20"/>
                <w:szCs w:val="20"/>
              </w:rPr>
              <w:t>tampouco</w:t>
            </w:r>
            <w:r w:rsidR="00A5128F" w:rsidRPr="00AE0B4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desídia administrativa,</w:t>
            </w:r>
            <w:r w:rsidR="00F369DF" w:rsidRPr="00AE0B4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Má Gestão, </w:t>
            </w:r>
            <w:r w:rsidR="00A5128F" w:rsidRPr="00AE0B4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“emergência fabricada”</w:t>
            </w:r>
            <w:r w:rsidRPr="00AE0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E/OU CRIMES EM LICITAÇÕES E CONTRATOS</w:t>
            </w:r>
            <w:r w:rsidR="00BF2ADA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10175A" w:rsidRPr="00AE0B45">
              <w:rPr>
                <w:rFonts w:asciiTheme="minorHAnsi" w:hAnsiTheme="minorHAnsi" w:cstheme="minorHAnsi"/>
                <w:sz w:val="20"/>
                <w:szCs w:val="20"/>
              </w:rPr>
              <w:t>nos termos da lei.</w:t>
            </w:r>
          </w:p>
        </w:tc>
      </w:tr>
    </w:tbl>
    <w:bookmarkEnd w:id="2"/>
    <w:p w14:paraId="305106E7" w14:textId="6F0281DD" w:rsidR="00EC1F26" w:rsidRPr="00AE0B45" w:rsidRDefault="00EC1F26" w:rsidP="00EC1F26">
      <w:pPr>
        <w:pStyle w:val="Ttulo1"/>
        <w:rPr>
          <w:rFonts w:asciiTheme="minorHAnsi" w:hAnsiTheme="minorHAnsi" w:cstheme="minorHAnsi"/>
          <w:sz w:val="20"/>
          <w:szCs w:val="20"/>
        </w:rPr>
      </w:pPr>
      <w:r w:rsidRPr="00AE0B45">
        <w:rPr>
          <w:rFonts w:asciiTheme="minorHAnsi" w:hAnsiTheme="minorHAnsi" w:cstheme="minorHAnsi"/>
          <w:sz w:val="20"/>
          <w:szCs w:val="20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AE0B45" w14:paraId="09A00E6B" w14:textId="77777777" w:rsidTr="00C55E3E">
        <w:tc>
          <w:tcPr>
            <w:tcW w:w="5157" w:type="dxa"/>
            <w:shd w:val="clear" w:color="auto" w:fill="auto"/>
            <w:vAlign w:val="center"/>
          </w:tcPr>
          <w:p w14:paraId="14100197" w14:textId="090CCF3F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Reservada, cfe. Inciso III do §1º do Art. 24 da Lei 12.527/2011  </w:t>
            </w:r>
          </w:p>
        </w:tc>
      </w:tr>
      <w:tr w:rsidR="00EC1F26" w:rsidRPr="00AE0B45" w14:paraId="370CE3DF" w14:textId="77777777" w:rsidTr="00C55E3E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AE0B45" w:rsidRDefault="00EC1F26" w:rsidP="00C55E3E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(  )</w:t>
            </w:r>
            <w:proofErr w:type="gram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Ultrasecreta</w:t>
            </w:r>
            <w:proofErr w:type="spellEnd"/>
            <w:r w:rsidRPr="00AE0B45">
              <w:rPr>
                <w:rFonts w:asciiTheme="minorHAnsi" w:hAnsiTheme="minorHAnsi" w:cstheme="minorHAnsi"/>
                <w:sz w:val="20"/>
                <w:szCs w:val="20"/>
              </w:rPr>
              <w:t>, cfe. Inciso I do §1º do Art. 24 da Lei 12.527/2011</w:t>
            </w:r>
          </w:p>
        </w:tc>
      </w:tr>
    </w:tbl>
    <w:p w14:paraId="4E3CF857" w14:textId="77777777" w:rsidR="00EC1F26" w:rsidRPr="00AE0B45" w:rsidRDefault="00EC1F26" w:rsidP="00EC1F26">
      <w:pPr>
        <w:rPr>
          <w:rFonts w:asciiTheme="minorHAnsi" w:hAnsiTheme="minorHAnsi" w:cstheme="minorHAnsi"/>
          <w:sz w:val="20"/>
          <w:szCs w:val="20"/>
        </w:rPr>
      </w:pPr>
    </w:p>
    <w:p w14:paraId="020F279E" w14:textId="77777777" w:rsidR="00DD1CD6" w:rsidRPr="00AE0B45" w:rsidRDefault="00DD1CD6" w:rsidP="00B70A10">
      <w:pPr>
        <w:jc w:val="right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354"/>
      </w:tblGrid>
      <w:tr w:rsidR="00F21487" w:rsidRPr="00AE0B45" w14:paraId="71822289" w14:textId="77777777" w:rsidTr="00787CEB">
        <w:tc>
          <w:tcPr>
            <w:tcW w:w="8354" w:type="dxa"/>
            <w:shd w:val="clear" w:color="auto" w:fill="auto"/>
            <w:vAlign w:val="center"/>
          </w:tcPr>
          <w:p w14:paraId="23F221B5" w14:textId="73D13D4A" w:rsidR="00787CEB" w:rsidRPr="00AE0B45" w:rsidRDefault="002D0383" w:rsidP="00FF3D72">
            <w:pPr>
              <w:tabs>
                <w:tab w:val="left" w:pos="1935"/>
              </w:tabs>
              <w:ind w:right="173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Imigrante, 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de</w:t>
            </w:r>
            <w:r w:rsidR="009C6541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junho</w:t>
            </w:r>
            <w:r w:rsidR="00787CEB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de 2024.</w:t>
            </w:r>
          </w:p>
          <w:p w14:paraId="3D293AC4" w14:textId="71C046D8" w:rsidR="00094591" w:rsidRPr="00AE0B45" w:rsidRDefault="00094591" w:rsidP="00787CEB">
            <w:pPr>
              <w:tabs>
                <w:tab w:val="left" w:pos="1935"/>
              </w:tabs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6ABDE8" w14:textId="77777777" w:rsidR="00094591" w:rsidRPr="00AE0B45" w:rsidRDefault="00094591" w:rsidP="00787CEB">
            <w:pPr>
              <w:tabs>
                <w:tab w:val="left" w:pos="1935"/>
              </w:tabs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1B594A" w14:textId="77777777" w:rsidR="00787CEB" w:rsidRPr="00AE0B45" w:rsidRDefault="00787CEB" w:rsidP="00787CEB">
            <w:pPr>
              <w:tabs>
                <w:tab w:val="left" w:pos="1935"/>
              </w:tabs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568A51" w14:textId="1B03E2AA" w:rsidR="00787CEB" w:rsidRPr="00AE0B45" w:rsidRDefault="009C6541" w:rsidP="00787CEB">
            <w:pPr>
              <w:tabs>
                <w:tab w:val="left" w:pos="1935"/>
              </w:tabs>
              <w:ind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0383" w:rsidRPr="00AE0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tbl>
            <w:tblPr>
              <w:tblW w:w="8045" w:type="dxa"/>
              <w:jc w:val="center"/>
              <w:tblLook w:val="04A0" w:firstRow="1" w:lastRow="0" w:firstColumn="1" w:lastColumn="0" w:noHBand="0" w:noVBand="1"/>
            </w:tblPr>
            <w:tblGrid>
              <w:gridCol w:w="4003"/>
              <w:gridCol w:w="4042"/>
            </w:tblGrid>
            <w:tr w:rsidR="00787CEB" w:rsidRPr="00AE0B45" w14:paraId="1E5D843A" w14:textId="77777777" w:rsidTr="00C36A0F">
              <w:trPr>
                <w:trHeight w:val="2247"/>
                <w:jc w:val="center"/>
              </w:trPr>
              <w:tc>
                <w:tcPr>
                  <w:tcW w:w="4003" w:type="dxa"/>
                  <w:hideMark/>
                </w:tcPr>
                <w:p w14:paraId="72C47548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</w:t>
                  </w:r>
                </w:p>
                <w:p w14:paraId="75D44E6D" w14:textId="0B83A464" w:rsidR="00787CEB" w:rsidRPr="00AE0B45" w:rsidRDefault="00075D68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CLÓVIS SPELLMEIER</w:t>
                  </w:r>
                </w:p>
                <w:p w14:paraId="6CD1B4CA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Secretário Municipal de Obras </w:t>
                  </w:r>
                </w:p>
                <w:p w14:paraId="1C249CC5" w14:textId="439EE79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 Mobilidade Urbana</w:t>
                  </w:r>
                </w:p>
              </w:tc>
              <w:tc>
                <w:tcPr>
                  <w:tcW w:w="4042" w:type="dxa"/>
                </w:tcPr>
                <w:p w14:paraId="72424CA7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_________________________________</w:t>
                  </w:r>
                </w:p>
                <w:p w14:paraId="7483A0B2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CARLOS ALEXANDRE LUTTERBECK</w:t>
                  </w:r>
                </w:p>
                <w:p w14:paraId="78B8BA95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Secretário Municipal de Educação</w:t>
                  </w:r>
                </w:p>
                <w:p w14:paraId="61DAD1F3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2B53FCE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787CEB" w:rsidRPr="00AE0B45" w14:paraId="252B733F" w14:textId="77777777" w:rsidTr="00C36A0F">
              <w:trPr>
                <w:trHeight w:val="2713"/>
                <w:jc w:val="center"/>
              </w:trPr>
              <w:tc>
                <w:tcPr>
                  <w:tcW w:w="4003" w:type="dxa"/>
                  <w:hideMark/>
                </w:tcPr>
                <w:p w14:paraId="04A65601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__________________________</w:t>
                  </w:r>
                </w:p>
                <w:p w14:paraId="7C3E08ED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JÓICE CRISTINA HORST</w:t>
                  </w:r>
                </w:p>
                <w:p w14:paraId="72E95E83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Secretária Municipal de Saúde </w:t>
                  </w:r>
                </w:p>
                <w:p w14:paraId="7DDBAF83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 Assistência Social</w:t>
                  </w:r>
                </w:p>
              </w:tc>
              <w:tc>
                <w:tcPr>
                  <w:tcW w:w="4042" w:type="dxa"/>
                </w:tcPr>
                <w:p w14:paraId="6FE93264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</w:t>
                  </w:r>
                </w:p>
                <w:p w14:paraId="603F25A1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EDSON ADILSO HECK</w:t>
                  </w:r>
                </w:p>
                <w:p w14:paraId="719382B4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Secretário Municipal de Administração, </w:t>
                  </w: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  <w:t>Planejamento e Finanças</w:t>
                  </w:r>
                </w:p>
                <w:p w14:paraId="430A1ED7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64DE3DC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787CEB" w:rsidRPr="00AE0B45" w14:paraId="1E2E24D4" w14:textId="77777777" w:rsidTr="00C36A0F">
              <w:trPr>
                <w:trHeight w:val="2274"/>
                <w:jc w:val="center"/>
              </w:trPr>
              <w:tc>
                <w:tcPr>
                  <w:tcW w:w="4003" w:type="dxa"/>
                </w:tcPr>
                <w:p w14:paraId="0EF10956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__________________________</w:t>
                  </w:r>
                </w:p>
                <w:p w14:paraId="4FFFECBA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CHARLES PORSCHE</w:t>
                  </w:r>
                  <w:r w:rsidRPr="00AE0B45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br/>
                  </w: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Secretário da Cultura, Desporto </w:t>
                  </w:r>
                </w:p>
                <w:p w14:paraId="28297629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 Turismo</w:t>
                  </w:r>
                </w:p>
                <w:p w14:paraId="59A6CD86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042" w:type="dxa"/>
                  <w:hideMark/>
                </w:tcPr>
                <w:p w14:paraId="6F276438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</w:t>
                  </w:r>
                </w:p>
                <w:p w14:paraId="553CB0AD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GILNEI DAHMER</w:t>
                  </w:r>
                </w:p>
                <w:p w14:paraId="1452D243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Secretário da Agricultura, Meio Ambiente </w:t>
                  </w:r>
                </w:p>
                <w:p w14:paraId="48592004" w14:textId="77777777" w:rsidR="00787CEB" w:rsidRPr="00AE0B45" w:rsidRDefault="00787CEB" w:rsidP="006D11A9">
                  <w:pPr>
                    <w:framePr w:hSpace="141" w:wrap="around" w:vAnchor="text" w:hAnchor="margin" w:xAlign="center" w:y="83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E0B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e Desenvolvimento Econômico</w:t>
                  </w:r>
                </w:p>
              </w:tc>
            </w:tr>
          </w:tbl>
          <w:p w14:paraId="3F671AF6" w14:textId="77777777" w:rsidR="00787CEB" w:rsidRPr="00AE0B45" w:rsidRDefault="00787CEB" w:rsidP="00C55E3E">
            <w:pPr>
              <w:tabs>
                <w:tab w:val="left" w:pos="1935"/>
              </w:tabs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89E342" w14:textId="3769802C" w:rsidR="006A15E4" w:rsidRPr="00AE0B45" w:rsidRDefault="006A15E4">
      <w:pPr>
        <w:spacing w:after="160" w:line="259" w:lineRule="auto"/>
        <w:ind w:firstLine="0"/>
        <w:rPr>
          <w:rFonts w:asciiTheme="minorHAnsi" w:eastAsiaTheme="majorEastAsia" w:hAnsiTheme="minorHAnsi" w:cstheme="minorHAnsi"/>
          <w:b/>
          <w:caps/>
          <w:sz w:val="20"/>
          <w:szCs w:val="20"/>
        </w:rPr>
      </w:pPr>
    </w:p>
    <w:p w14:paraId="6566E635" w14:textId="77777777" w:rsidR="00094591" w:rsidRPr="00AE0B45" w:rsidRDefault="00094591">
      <w:pPr>
        <w:spacing w:after="160" w:line="259" w:lineRule="auto"/>
        <w:ind w:firstLine="0"/>
        <w:rPr>
          <w:rFonts w:asciiTheme="minorHAnsi" w:eastAsiaTheme="majorEastAsia" w:hAnsiTheme="minorHAnsi" w:cstheme="minorHAnsi"/>
          <w:b/>
          <w:caps/>
          <w:sz w:val="20"/>
          <w:szCs w:val="20"/>
        </w:rPr>
      </w:pPr>
    </w:p>
    <w:sectPr w:rsidR="00094591" w:rsidRPr="00AE0B45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C55E3E" w:rsidRDefault="00C55E3E" w:rsidP="009F2D5E">
      <w:pPr>
        <w:spacing w:after="0"/>
      </w:pPr>
      <w:r>
        <w:separator/>
      </w:r>
    </w:p>
  </w:endnote>
  <w:endnote w:type="continuationSeparator" w:id="0">
    <w:p w14:paraId="4AC41035" w14:textId="77777777" w:rsidR="00C55E3E" w:rsidRDefault="00C55E3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C55E3E" w:rsidRPr="002E46A9" w:rsidRDefault="00C55E3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C55E3E" w:rsidRPr="00EC4156" w:rsidRDefault="00C55E3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C55E3E" w:rsidRDefault="00C55E3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C55E3E" w:rsidRDefault="00C55E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C55E3E" w:rsidRDefault="00C55E3E" w:rsidP="009F2D5E">
      <w:pPr>
        <w:spacing w:after="0"/>
      </w:pPr>
      <w:r>
        <w:separator/>
      </w:r>
    </w:p>
  </w:footnote>
  <w:footnote w:type="continuationSeparator" w:id="0">
    <w:p w14:paraId="0F39718C" w14:textId="77777777" w:rsidR="00C55E3E" w:rsidRDefault="00C55E3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C55E3E" w:rsidRDefault="00C55E3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C55E3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C55E3E" w:rsidRDefault="00C55E3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C55E3E" w:rsidRDefault="00C55E3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C55E3E" w:rsidRPr="00212C1D" w:rsidRDefault="00C55E3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C55E3E" w:rsidRDefault="00C55E3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C55E3E" w:rsidRDefault="00C55E3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C55E3E" w:rsidRDefault="00C55E3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C55E3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C55E3E" w:rsidRDefault="00C55E3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C55E3E" w:rsidRDefault="00C55E3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C55E3E" w:rsidRPr="00B970FE" w:rsidRDefault="00C55E3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C55E3E" w:rsidRDefault="00C55E3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C55E3E" w:rsidRDefault="00C55E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7C2B65"/>
    <w:multiLevelType w:val="hybridMultilevel"/>
    <w:tmpl w:val="E54C16E6"/>
    <w:lvl w:ilvl="0" w:tplc="41444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B515670"/>
    <w:multiLevelType w:val="multilevel"/>
    <w:tmpl w:val="5E068AF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" w15:restartNumberingAfterBreak="0">
    <w:nsid w:val="4DFB6389"/>
    <w:multiLevelType w:val="hybridMultilevel"/>
    <w:tmpl w:val="9F004086"/>
    <w:lvl w:ilvl="0" w:tplc="4144407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18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1"/>
  </w:num>
  <w:num w:numId="6">
    <w:abstractNumId w:val="16"/>
  </w:num>
  <w:num w:numId="7">
    <w:abstractNumId w:val="21"/>
  </w:num>
  <w:num w:numId="8">
    <w:abstractNumId w:val="18"/>
  </w:num>
  <w:num w:numId="9">
    <w:abstractNumId w:val="22"/>
  </w:num>
  <w:num w:numId="10">
    <w:abstractNumId w:val="13"/>
  </w:num>
  <w:num w:numId="11">
    <w:abstractNumId w:val="20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12"/>
  </w:num>
  <w:num w:numId="19">
    <w:abstractNumId w:val="2"/>
  </w:num>
  <w:num w:numId="20">
    <w:abstractNumId w:val="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27F8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5D68"/>
    <w:rsid w:val="00083A8D"/>
    <w:rsid w:val="000853A7"/>
    <w:rsid w:val="00087E7E"/>
    <w:rsid w:val="00090831"/>
    <w:rsid w:val="00090F2D"/>
    <w:rsid w:val="0009253A"/>
    <w:rsid w:val="00093581"/>
    <w:rsid w:val="00094376"/>
    <w:rsid w:val="00094591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6D9F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1829"/>
    <w:rsid w:val="00172BED"/>
    <w:rsid w:val="00175CAE"/>
    <w:rsid w:val="001767AE"/>
    <w:rsid w:val="001768AF"/>
    <w:rsid w:val="00180744"/>
    <w:rsid w:val="0018109B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00D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3C66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909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37F8E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4C44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C79A8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17A6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6AE1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43DA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5A05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268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06931"/>
    <w:rsid w:val="00610026"/>
    <w:rsid w:val="00611D04"/>
    <w:rsid w:val="00614923"/>
    <w:rsid w:val="00614B81"/>
    <w:rsid w:val="00615FF7"/>
    <w:rsid w:val="006162B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67B8D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28F6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1A9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4630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39C5"/>
    <w:rsid w:val="00745815"/>
    <w:rsid w:val="00746871"/>
    <w:rsid w:val="00746B76"/>
    <w:rsid w:val="0074707F"/>
    <w:rsid w:val="00747F86"/>
    <w:rsid w:val="00750A01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87CEB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255D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142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526"/>
    <w:rsid w:val="009358B1"/>
    <w:rsid w:val="0093743A"/>
    <w:rsid w:val="00937EB0"/>
    <w:rsid w:val="00940DAD"/>
    <w:rsid w:val="00941E0D"/>
    <w:rsid w:val="009427CA"/>
    <w:rsid w:val="00943A6B"/>
    <w:rsid w:val="00943AC3"/>
    <w:rsid w:val="009472A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54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1DB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22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B45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5273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224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36A0F"/>
    <w:rsid w:val="00C415BF"/>
    <w:rsid w:val="00C42E24"/>
    <w:rsid w:val="00C42FCC"/>
    <w:rsid w:val="00C45565"/>
    <w:rsid w:val="00C46884"/>
    <w:rsid w:val="00C46C95"/>
    <w:rsid w:val="00C472DE"/>
    <w:rsid w:val="00C47509"/>
    <w:rsid w:val="00C47B90"/>
    <w:rsid w:val="00C47D4F"/>
    <w:rsid w:val="00C55181"/>
    <w:rsid w:val="00C55E3E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6F44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4B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5312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426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26A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29C7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2C"/>
    <w:rsid w:val="00E57767"/>
    <w:rsid w:val="00E60B7B"/>
    <w:rsid w:val="00E61B1B"/>
    <w:rsid w:val="00E62686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17A1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10D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CEB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3915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3D72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A3501-0B30-4152-904C-4CEBF173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2151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38</cp:revision>
  <cp:lastPrinted>2024-06-18T13:43:00Z</cp:lastPrinted>
  <dcterms:created xsi:type="dcterms:W3CDTF">2024-05-22T19:40:00Z</dcterms:created>
  <dcterms:modified xsi:type="dcterms:W3CDTF">2024-07-09T19:16:00Z</dcterms:modified>
</cp:coreProperties>
</file>